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484B" w14:paraId="15747C1C" w14:textId="77777777" w:rsidTr="0010095E">
        <w:trPr>
          <w:trHeight w:hRule="exact" w:val="1418"/>
        </w:trPr>
        <w:tc>
          <w:tcPr>
            <w:tcW w:w="6804" w:type="dxa"/>
            <w:shd w:val="clear" w:color="auto" w:fill="auto"/>
            <w:vAlign w:val="center"/>
          </w:tcPr>
          <w:p w14:paraId="1F096F62" w14:textId="77777777" w:rsidR="00751A4A" w:rsidRPr="00E9484B" w:rsidRDefault="004C7D0E" w:rsidP="0010095E">
            <w:pPr>
              <w:pStyle w:val="EPName"/>
            </w:pPr>
            <w:bookmarkStart w:id="0" w:name="_GoBack"/>
            <w:bookmarkEnd w:id="0"/>
            <w:r w:rsidRPr="00E9484B">
              <w:t>Parlamentul European</w:t>
            </w:r>
          </w:p>
          <w:p w14:paraId="4802B507" w14:textId="77777777" w:rsidR="00751A4A" w:rsidRPr="00E9484B" w:rsidRDefault="00817416" w:rsidP="00756632">
            <w:pPr>
              <w:pStyle w:val="EPTerm"/>
              <w:rPr>
                <w:rStyle w:val="HideTWBExt"/>
                <w:noProof w:val="0"/>
                <w:vanish w:val="0"/>
                <w:color w:val="auto"/>
              </w:rPr>
            </w:pPr>
            <w:r w:rsidRPr="00E9484B">
              <w:t>2019-2024</w:t>
            </w:r>
          </w:p>
        </w:tc>
        <w:tc>
          <w:tcPr>
            <w:tcW w:w="2268" w:type="dxa"/>
            <w:shd w:val="clear" w:color="auto" w:fill="auto"/>
          </w:tcPr>
          <w:p w14:paraId="2AE7B0C0" w14:textId="77777777" w:rsidR="00751A4A" w:rsidRPr="00E9484B" w:rsidRDefault="00187494" w:rsidP="0010095E">
            <w:pPr>
              <w:pStyle w:val="EPLogo"/>
            </w:pPr>
            <w:r w:rsidRPr="00E9484B">
              <w:rPr>
                <w:noProof/>
                <w:lang w:eastAsia="ro-RO"/>
              </w:rPr>
              <w:drawing>
                <wp:inline distT="0" distB="0" distL="0" distR="0" wp14:anchorId="5DD9BA42" wp14:editId="04CB69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CA0727" w14:textId="77777777" w:rsidR="00D058B8" w:rsidRPr="00E9484B" w:rsidRDefault="00D058B8" w:rsidP="004C5D52">
      <w:pPr>
        <w:pStyle w:val="LineTop"/>
      </w:pPr>
    </w:p>
    <w:p w14:paraId="518139DC" w14:textId="77777777" w:rsidR="00680577" w:rsidRPr="00E9484B" w:rsidRDefault="004C7D0E" w:rsidP="00680577">
      <w:pPr>
        <w:pStyle w:val="EPBodyTA1"/>
      </w:pPr>
      <w:r w:rsidRPr="00E9484B">
        <w:t>TEXTE ADOPTATE</w:t>
      </w:r>
    </w:p>
    <w:p w14:paraId="65958CD4" w14:textId="77777777" w:rsidR="00D058B8" w:rsidRPr="00E9484B" w:rsidRDefault="00D058B8" w:rsidP="00D058B8">
      <w:pPr>
        <w:pStyle w:val="LineBottom"/>
      </w:pPr>
    </w:p>
    <w:p w14:paraId="35488E0A" w14:textId="729AD560" w:rsidR="004C7D0E" w:rsidRPr="00E9484B" w:rsidRDefault="004C7D0E" w:rsidP="004C7D0E">
      <w:pPr>
        <w:pStyle w:val="ATHeading1"/>
      </w:pPr>
      <w:bookmarkStart w:id="1" w:name="TANumber"/>
      <w:r w:rsidRPr="00E9484B">
        <w:t>P9_TA(2024)0</w:t>
      </w:r>
      <w:r w:rsidR="000734C5" w:rsidRPr="00E9484B">
        <w:t>373</w:t>
      </w:r>
      <w:bookmarkEnd w:id="1"/>
    </w:p>
    <w:p w14:paraId="3B7DD420" w14:textId="77777777" w:rsidR="004C7D0E" w:rsidRPr="00E9484B" w:rsidRDefault="004C7D0E" w:rsidP="004C7D0E">
      <w:pPr>
        <w:pStyle w:val="ATHeading2"/>
      </w:pPr>
      <w:bookmarkStart w:id="2" w:name="title"/>
      <w:r w:rsidRPr="00E9484B">
        <w:t>Estimarea veniturilor și cheltuielilor pentru exercițiul financiar 2025 – Secțiunea I – Parlamentul European</w:t>
      </w:r>
      <w:bookmarkEnd w:id="2"/>
    </w:p>
    <w:p w14:paraId="653F95D5" w14:textId="77777777" w:rsidR="004C7D0E" w:rsidRPr="00E9484B" w:rsidRDefault="004C7D0E" w:rsidP="004C7D0E">
      <w:pPr>
        <w:rPr>
          <w:i/>
          <w:vanish/>
        </w:rPr>
      </w:pPr>
      <w:r w:rsidRPr="00E9484B">
        <w:rPr>
          <w:i/>
        </w:rPr>
        <w:fldChar w:fldCharType="begin"/>
      </w:r>
      <w:r w:rsidRPr="00E9484B">
        <w:rPr>
          <w:i/>
        </w:rPr>
        <w:instrText xml:space="preserve"> TC"(</w:instrText>
      </w:r>
      <w:bookmarkStart w:id="3" w:name="DocNumber"/>
      <w:r w:rsidRPr="00E9484B">
        <w:rPr>
          <w:i/>
        </w:rPr>
        <w:instrText>A9-0180/2024</w:instrText>
      </w:r>
      <w:bookmarkEnd w:id="3"/>
      <w:r w:rsidRPr="00E9484B">
        <w:rPr>
          <w:i/>
        </w:rPr>
        <w:instrText xml:space="preserve"> - Raportoare: Anna</w:instrText>
      </w:r>
      <w:r w:rsidRPr="00E9484B">
        <w:rPr>
          <w:i/>
        </w:rPr>
        <w:noBreakHyphen/>
        <w:instrText xml:space="preserve">Michelle </w:instrText>
      </w:r>
      <w:proofErr w:type="spellStart"/>
      <w:r w:rsidRPr="00E9484B">
        <w:rPr>
          <w:i/>
        </w:rPr>
        <w:instrText>Asimakopoulou</w:instrText>
      </w:r>
      <w:proofErr w:type="spellEnd"/>
      <w:r w:rsidRPr="00E9484B">
        <w:rPr>
          <w:i/>
        </w:rPr>
        <w:instrText xml:space="preserve">)"\l3 \n&gt; \* MERGEFORMAT </w:instrText>
      </w:r>
      <w:r w:rsidRPr="00E9484B">
        <w:rPr>
          <w:i/>
        </w:rPr>
        <w:fldChar w:fldCharType="end"/>
      </w:r>
    </w:p>
    <w:p w14:paraId="5363EDC9" w14:textId="77777777" w:rsidR="004C7D0E" w:rsidRPr="00E9484B" w:rsidRDefault="004C7D0E" w:rsidP="004C7D0E">
      <w:pPr>
        <w:rPr>
          <w:vanish/>
        </w:rPr>
      </w:pPr>
      <w:bookmarkStart w:id="4" w:name="Commission"/>
      <w:r w:rsidRPr="00E9484B">
        <w:rPr>
          <w:vanish/>
        </w:rPr>
        <w:t>Comisia pentru bugete</w:t>
      </w:r>
      <w:bookmarkEnd w:id="4"/>
    </w:p>
    <w:p w14:paraId="3BA616F4" w14:textId="77777777" w:rsidR="004C7D0E" w:rsidRPr="00E9484B" w:rsidRDefault="004C7D0E" w:rsidP="004C7D0E">
      <w:pPr>
        <w:rPr>
          <w:vanish/>
        </w:rPr>
      </w:pPr>
      <w:bookmarkStart w:id="5" w:name="PE"/>
      <w:r w:rsidRPr="00E9484B">
        <w:rPr>
          <w:vanish/>
        </w:rPr>
        <w:t>PE759.633</w:t>
      </w:r>
      <w:bookmarkEnd w:id="5"/>
    </w:p>
    <w:p w14:paraId="6DCB6DCC" w14:textId="77777777" w:rsidR="004C7D0E" w:rsidRPr="00E9484B" w:rsidRDefault="004C7D0E" w:rsidP="004C7D0E">
      <w:pPr>
        <w:pStyle w:val="ATHeading3"/>
      </w:pPr>
      <w:bookmarkStart w:id="6" w:name="Sujet"/>
      <w:r w:rsidRPr="00E9484B">
        <w:t>Rezoluția Parlamentului European din 25 aprilie 2024 referitoare la estimarea bugetului de venituri și cheltuieli al Parlamentului European pentru exercițiul financiar 2025</w:t>
      </w:r>
      <w:bookmarkEnd w:id="6"/>
      <w:r w:rsidRPr="00E9484B">
        <w:t xml:space="preserve"> </w:t>
      </w:r>
      <w:bookmarkStart w:id="7" w:name="References"/>
      <w:r w:rsidRPr="00E9484B">
        <w:t>(2023/2221(BUI))</w:t>
      </w:r>
      <w:bookmarkEnd w:id="7"/>
    </w:p>
    <w:p w14:paraId="30401F2D" w14:textId="77777777" w:rsidR="00896C52" w:rsidRPr="00E9484B" w:rsidRDefault="00896C52" w:rsidP="00896C52">
      <w:pPr>
        <w:pStyle w:val="EPComma"/>
        <w:rPr>
          <w:szCs w:val="24"/>
        </w:rPr>
      </w:pPr>
      <w:bookmarkStart w:id="8" w:name="TextBodyBegin"/>
      <w:bookmarkEnd w:id="8"/>
      <w:r w:rsidRPr="00E9484B">
        <w:rPr>
          <w:i/>
          <w:iCs/>
        </w:rPr>
        <w:t>Parlamentul European</w:t>
      </w:r>
      <w:r w:rsidRPr="00E9484B">
        <w:t>,</w:t>
      </w:r>
    </w:p>
    <w:p w14:paraId="26F8C2C3" w14:textId="77777777" w:rsidR="00896C52" w:rsidRPr="00E9484B" w:rsidRDefault="00896C52" w:rsidP="00896C52">
      <w:pPr>
        <w:pStyle w:val="NormalHanging12a"/>
        <w:rPr>
          <w:szCs w:val="24"/>
        </w:rPr>
      </w:pPr>
      <w:r w:rsidRPr="00E9484B">
        <w:t>–</w:t>
      </w:r>
      <w:r w:rsidRPr="00E9484B">
        <w:tab/>
        <w:t>având în vedere articolul 314 din Tratatul privind funcționarea Uniunii Europene,</w:t>
      </w:r>
    </w:p>
    <w:p w14:paraId="30547C45" w14:textId="77777777" w:rsidR="00896C52" w:rsidRPr="00E9484B" w:rsidRDefault="00896C52" w:rsidP="00896C52">
      <w:pPr>
        <w:pStyle w:val="NormalHanging12a"/>
        <w:rPr>
          <w:szCs w:val="24"/>
        </w:rPr>
      </w:pPr>
      <w:r w:rsidRPr="00E9484B">
        <w:t>–</w:t>
      </w:r>
      <w:r w:rsidRPr="00E9484B">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E9484B">
        <w:rPr>
          <w:rStyle w:val="FootnoteReference"/>
          <w:szCs w:val="24"/>
        </w:rPr>
        <w:footnoteReference w:id="1"/>
      </w:r>
      <w:r w:rsidRPr="00E9484B">
        <w:t>,</w:t>
      </w:r>
    </w:p>
    <w:p w14:paraId="34303D35" w14:textId="7733251D" w:rsidR="00896C52" w:rsidRPr="00E9484B" w:rsidRDefault="00896C52" w:rsidP="00896C52">
      <w:pPr>
        <w:pStyle w:val="NormalHanging12a"/>
        <w:rPr>
          <w:szCs w:val="24"/>
        </w:rPr>
      </w:pPr>
      <w:r w:rsidRPr="00E9484B">
        <w:t>–</w:t>
      </w:r>
      <w:r w:rsidRPr="00E9484B">
        <w:tab/>
        <w:t>având în vedere Regulamentul (UE, Euratom) 2020/2093 al Consiliului din 17 decembrie 2020 de stabilire a cadrului financiar multianual pentru perioada 2021-2027</w:t>
      </w:r>
      <w:r w:rsidRPr="00E9484B">
        <w:rPr>
          <w:szCs w:val="24"/>
          <w:vertAlign w:val="superscript"/>
        </w:rPr>
        <w:footnoteReference w:id="2"/>
      </w:r>
      <w:r w:rsidR="004B394C" w:rsidRPr="00E9484B">
        <w:t xml:space="preserve"> </w:t>
      </w:r>
      <w:r w:rsidRPr="00E9484B">
        <w:t>și declarațiile comune convenite de Parlamentul European, Consiliu și Comisie în acest context</w:t>
      </w:r>
      <w:r w:rsidRPr="00E9484B">
        <w:rPr>
          <w:szCs w:val="24"/>
          <w:vertAlign w:val="superscript"/>
        </w:rPr>
        <w:footnoteReference w:id="3"/>
      </w:r>
      <w:r w:rsidRPr="00E9484B">
        <w:t>, precum și declarațiile unilaterale aferente</w:t>
      </w:r>
      <w:r w:rsidRPr="00E9484B">
        <w:rPr>
          <w:szCs w:val="24"/>
          <w:vertAlign w:val="superscript"/>
        </w:rPr>
        <w:footnoteReference w:id="4"/>
      </w:r>
      <w:r w:rsidRPr="00E9484B">
        <w:t xml:space="preserve">, </w:t>
      </w:r>
    </w:p>
    <w:p w14:paraId="39A8E170" w14:textId="77777777" w:rsidR="00896C52" w:rsidRPr="00E9484B" w:rsidRDefault="00896C52" w:rsidP="00896C52">
      <w:pPr>
        <w:pStyle w:val="NormalHanging12a"/>
        <w:rPr>
          <w:szCs w:val="24"/>
        </w:rPr>
      </w:pPr>
      <w:r w:rsidRPr="00E9484B">
        <w:t>–</w:t>
      </w:r>
      <w:r w:rsidRPr="00E9484B">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E9484B">
        <w:rPr>
          <w:rStyle w:val="FootnoteReference"/>
          <w:szCs w:val="24"/>
        </w:rPr>
        <w:footnoteReference w:id="5"/>
      </w:r>
      <w:r w:rsidRPr="00E9484B">
        <w:t>,</w:t>
      </w:r>
    </w:p>
    <w:p w14:paraId="1EDD4E98" w14:textId="77777777" w:rsidR="00896C52" w:rsidRPr="00E9484B" w:rsidRDefault="00896C52" w:rsidP="00896C52">
      <w:pPr>
        <w:pStyle w:val="NormalHanging12a"/>
        <w:rPr>
          <w:szCs w:val="24"/>
        </w:rPr>
      </w:pPr>
      <w:r w:rsidRPr="00E9484B">
        <w:lastRenderedPageBreak/>
        <w:t>–</w:t>
      </w:r>
      <w:r w:rsidRPr="00E9484B">
        <w:tab/>
        <w:t xml:space="preserve">având în vedere raportul său intermediar </w:t>
      </w:r>
      <w:r w:rsidR="00765766" w:rsidRPr="00E9484B">
        <w:t xml:space="preserve">din 3 octombrie 2023 </w:t>
      </w:r>
      <w:r w:rsidRPr="00E9484B">
        <w:t>referitor la propunerea de revizuire la jumătatea perioadei a Cadrului financiar multianual 2021-2027</w:t>
      </w:r>
      <w:r w:rsidRPr="00E9484B">
        <w:rPr>
          <w:szCs w:val="24"/>
          <w:vertAlign w:val="superscript"/>
        </w:rPr>
        <w:footnoteReference w:id="6"/>
      </w:r>
      <w:r w:rsidRPr="00E9484B">
        <w:t>,</w:t>
      </w:r>
    </w:p>
    <w:p w14:paraId="2B1CECF2" w14:textId="77777777" w:rsidR="00896C52" w:rsidRPr="00E9484B" w:rsidRDefault="00896C52" w:rsidP="00896C52">
      <w:pPr>
        <w:pStyle w:val="NormalHanging12a"/>
        <w:rPr>
          <w:szCs w:val="24"/>
        </w:rPr>
      </w:pPr>
      <w:r w:rsidRPr="00E9484B">
        <w:t>–</w:t>
      </w:r>
      <w:r w:rsidRPr="00E9484B">
        <w:tab/>
        <w:t xml:space="preserve">având în vedere rezoluția sa din 15 decembrie 2022 referitoare la extinderea cadrului financiar multianual 2021-2027: un buget al UE </w:t>
      </w:r>
      <w:proofErr w:type="spellStart"/>
      <w:r w:rsidRPr="00E9484B">
        <w:t>rezilient</w:t>
      </w:r>
      <w:proofErr w:type="spellEnd"/>
      <w:r w:rsidRPr="00E9484B">
        <w:t>, adaptat noilor provocări</w:t>
      </w:r>
      <w:r w:rsidRPr="00E9484B">
        <w:rPr>
          <w:szCs w:val="24"/>
          <w:vertAlign w:val="superscript"/>
        </w:rPr>
        <w:footnoteReference w:id="7"/>
      </w:r>
      <w:r w:rsidRPr="00E9484B">
        <w:t xml:space="preserve">, </w:t>
      </w:r>
    </w:p>
    <w:p w14:paraId="0FBABD95" w14:textId="77777777" w:rsidR="00896C52" w:rsidRPr="00E9484B" w:rsidRDefault="00896C52" w:rsidP="00896C52">
      <w:pPr>
        <w:pStyle w:val="NormalHanging12a"/>
        <w:rPr>
          <w:szCs w:val="24"/>
        </w:rPr>
      </w:pPr>
      <w:r w:rsidRPr="00E9484B">
        <w:t>–</w:t>
      </w:r>
      <w:r w:rsidRPr="00E9484B">
        <w:tab/>
        <w:t xml:space="preserve">având în vedere Regulamentul (UE, Euratom) 2024/765 </w:t>
      </w:r>
      <w:r w:rsidRPr="00E9484B">
        <w:rPr>
          <w:shd w:val="clear" w:color="auto" w:fill="FFFFFF"/>
        </w:rPr>
        <w:t>al Consiliului din 29 februarie 2024 de modificare a Regulamentului (UE, Euratom) 2020/2093</w:t>
      </w:r>
      <w:r w:rsidRPr="00E9484B">
        <w:t xml:space="preserve"> de stabilire a cadrului financiar multianual pentru perioada 2021-2027</w:t>
      </w:r>
      <w:r w:rsidRPr="00E9484B">
        <w:rPr>
          <w:rStyle w:val="FootnoteReference"/>
          <w:szCs w:val="24"/>
        </w:rPr>
        <w:footnoteReference w:id="8"/>
      </w:r>
      <w:r w:rsidRPr="00E9484B">
        <w:t xml:space="preserve"> (Revizuirea CFM),</w:t>
      </w:r>
    </w:p>
    <w:p w14:paraId="0A07C36A" w14:textId="77777777" w:rsidR="00896C52" w:rsidRPr="00E9484B" w:rsidRDefault="00896C52" w:rsidP="00896C52">
      <w:pPr>
        <w:pStyle w:val="NormalHanging12a"/>
        <w:rPr>
          <w:szCs w:val="24"/>
        </w:rPr>
      </w:pPr>
      <w:r w:rsidRPr="00E9484B">
        <w:t>–</w:t>
      </w:r>
      <w:r w:rsidRPr="00E9484B">
        <w:tab/>
        <w:t>având în vedere propunerea Comisiei din 16 mai 2022 de regulament al Parlamentului European și al Consiliului privind normele financiare aplicabile bugetului general al Uniunii</w:t>
      </w:r>
      <w:r w:rsidRPr="00E9484B">
        <w:rPr>
          <w:rStyle w:val="FootnoteReference"/>
          <w:szCs w:val="24"/>
        </w:rPr>
        <w:footnoteReference w:id="9"/>
      </w:r>
      <w:r w:rsidRPr="00E9484B">
        <w:t>,</w:t>
      </w:r>
    </w:p>
    <w:p w14:paraId="66E07B85" w14:textId="77777777" w:rsidR="00896C52" w:rsidRPr="00E9484B" w:rsidRDefault="00896C52" w:rsidP="00896C52">
      <w:pPr>
        <w:pStyle w:val="NormalHanging12a"/>
        <w:rPr>
          <w:szCs w:val="24"/>
        </w:rPr>
      </w:pPr>
      <w:r w:rsidRPr="00E9484B">
        <w:t>–</w:t>
      </w:r>
      <w:r w:rsidRPr="00E9484B">
        <w:tab/>
        <w:t>având în vedere Regulamentul (UE, Euratom) nr. 1023/2013 al Parlamentului European și al Consiliului din 22 octombrie 2013 de modificare a Statutului funcționarilor Uniunii Europene și a Regimului aplicabil celorlalți agenți ai Uniunii Europene</w:t>
      </w:r>
      <w:r w:rsidRPr="00E9484B">
        <w:rPr>
          <w:rStyle w:val="FootnoteReference"/>
          <w:szCs w:val="24"/>
        </w:rPr>
        <w:footnoteReference w:id="10"/>
      </w:r>
      <w:r w:rsidRPr="00E9484B">
        <w:t xml:space="preserve">,  </w:t>
      </w:r>
    </w:p>
    <w:p w14:paraId="4CEF7821" w14:textId="77777777" w:rsidR="00896C52" w:rsidRPr="00E9484B" w:rsidRDefault="00896C52" w:rsidP="00896C52">
      <w:pPr>
        <w:pStyle w:val="NormalHanging12a"/>
        <w:rPr>
          <w:szCs w:val="24"/>
        </w:rPr>
      </w:pPr>
      <w:r w:rsidRPr="00E9484B">
        <w:t>–</w:t>
      </w:r>
      <w:r w:rsidRPr="00E9484B">
        <w:tab/>
        <w:t>având în vedere rezoluția sa din 20 aprilie 2023 referitoare la estimarea bugetului de venituri și cheltuieli al Parlamentului European pentru exercițiul financiar 2024</w:t>
      </w:r>
      <w:r w:rsidRPr="00E9484B">
        <w:rPr>
          <w:rStyle w:val="FootnoteReference"/>
          <w:szCs w:val="24"/>
        </w:rPr>
        <w:footnoteReference w:id="11"/>
      </w:r>
      <w:r w:rsidRPr="00E9484B">
        <w:t xml:space="preserve">, </w:t>
      </w:r>
    </w:p>
    <w:p w14:paraId="19E06986" w14:textId="77777777" w:rsidR="00896C52" w:rsidRPr="00E9484B" w:rsidRDefault="00896C52" w:rsidP="00896C52">
      <w:pPr>
        <w:pStyle w:val="NormalHanging12a"/>
        <w:rPr>
          <w:szCs w:val="24"/>
        </w:rPr>
      </w:pPr>
      <w:r w:rsidRPr="00E9484B">
        <w:t>–</w:t>
      </w:r>
      <w:r w:rsidRPr="00E9484B">
        <w:tab/>
        <w:t>având în vedere rezoluția sa din 18 octombrie 2023 referitoare la poziția Consiliului privind proiectul de buget general al Uniunii Europene pentru exercițiul financiar 2024</w:t>
      </w:r>
      <w:r w:rsidRPr="00E9484B">
        <w:rPr>
          <w:rStyle w:val="FootnoteReference"/>
          <w:szCs w:val="24"/>
        </w:rPr>
        <w:footnoteReference w:id="12"/>
      </w:r>
      <w:r w:rsidRPr="00E9484B">
        <w:t xml:space="preserve">, </w:t>
      </w:r>
    </w:p>
    <w:p w14:paraId="513D03DC" w14:textId="77777777" w:rsidR="00896C52" w:rsidRPr="00E9484B" w:rsidRDefault="00896C52" w:rsidP="00896C52">
      <w:pPr>
        <w:pStyle w:val="NormalHanging12a"/>
        <w:rPr>
          <w:szCs w:val="24"/>
        </w:rPr>
      </w:pPr>
      <w:r w:rsidRPr="00E9484B">
        <w:t>–</w:t>
      </w:r>
      <w:r w:rsidRPr="00E9484B">
        <w:tab/>
        <w:t>având în vedere bugetul general al Uniunii Europene aferent exercițiului financiar 2024</w:t>
      </w:r>
      <w:r w:rsidRPr="00E9484B">
        <w:rPr>
          <w:rStyle w:val="FootnoteReference"/>
          <w:szCs w:val="24"/>
        </w:rPr>
        <w:footnoteReference w:id="13"/>
      </w:r>
      <w:r w:rsidRPr="00E9484B">
        <w:t xml:space="preserve"> și declarațiile comune asupra cărora au convenit Parlamentul European, Consiliul și Comisia, anexate la acesta, </w:t>
      </w:r>
    </w:p>
    <w:p w14:paraId="2CC9E205" w14:textId="77777777" w:rsidR="00896C52" w:rsidRPr="00E9484B" w:rsidRDefault="00896C52" w:rsidP="00896C52">
      <w:pPr>
        <w:pStyle w:val="NormalHanging12a"/>
        <w:rPr>
          <w:szCs w:val="24"/>
        </w:rPr>
      </w:pPr>
      <w:r w:rsidRPr="00E9484B">
        <w:t>–</w:t>
      </w:r>
      <w:r w:rsidRPr="00E9484B">
        <w:tab/>
        <w:t>având în vedere raportul prezentat Biroului de către Secretarul General privind proiectul preliminar de estimare a bugetului Parlamentului pentru exercițiul financiar 2025,</w:t>
      </w:r>
    </w:p>
    <w:p w14:paraId="57F09E26" w14:textId="77777777" w:rsidR="00896C52" w:rsidRPr="00E9484B" w:rsidRDefault="00896C52" w:rsidP="00896C52">
      <w:pPr>
        <w:pStyle w:val="NormalHanging12a"/>
        <w:rPr>
          <w:szCs w:val="24"/>
        </w:rPr>
      </w:pPr>
      <w:r w:rsidRPr="00E9484B">
        <w:t>–</w:t>
      </w:r>
      <w:r w:rsidRPr="00E9484B">
        <w:tab/>
        <w:t>având în vedere proiectul preliminar de estimare a bugetului întocmit de Birou la 11 martie 2024 în conformitate cu articolul 25 alineatul (7) și cu articolul 102 alineatul (1) din Regulamentul de procedură al Parlamentului,</w:t>
      </w:r>
    </w:p>
    <w:p w14:paraId="44F00AD2" w14:textId="77777777" w:rsidR="00896C52" w:rsidRPr="00E9484B" w:rsidRDefault="00896C52" w:rsidP="00896C52">
      <w:pPr>
        <w:pStyle w:val="NormalHanging12a"/>
        <w:rPr>
          <w:szCs w:val="24"/>
        </w:rPr>
      </w:pPr>
      <w:r w:rsidRPr="00E9484B">
        <w:t>–</w:t>
      </w:r>
      <w:r w:rsidRPr="00E9484B">
        <w:tab/>
        <w:t>având în vedere proiectul de estimare a bugetului întocmit de Comisia pentru bugete în conformitate cu articolul 102 alineatul (2) din Regulamentul de procedură al Parlamentului,</w:t>
      </w:r>
    </w:p>
    <w:p w14:paraId="47DBED29" w14:textId="77777777" w:rsidR="00896C52" w:rsidRPr="00E9484B" w:rsidRDefault="00896C52" w:rsidP="00896C52">
      <w:pPr>
        <w:pStyle w:val="NormalHanging12a"/>
        <w:rPr>
          <w:szCs w:val="24"/>
        </w:rPr>
      </w:pPr>
      <w:r w:rsidRPr="00E9484B">
        <w:t>–</w:t>
      </w:r>
      <w:r w:rsidRPr="00E9484B">
        <w:tab/>
        <w:t>având în vedere articolul 102 din Regulamentul său de procedură,</w:t>
      </w:r>
    </w:p>
    <w:p w14:paraId="5B2613B0" w14:textId="77777777" w:rsidR="00896C52" w:rsidRPr="00E9484B" w:rsidRDefault="00896C52" w:rsidP="00896C52">
      <w:pPr>
        <w:pStyle w:val="NormalHanging12a"/>
        <w:rPr>
          <w:szCs w:val="24"/>
        </w:rPr>
      </w:pPr>
      <w:r w:rsidRPr="00E9484B">
        <w:t>–</w:t>
      </w:r>
      <w:r w:rsidRPr="00E9484B">
        <w:tab/>
        <w:t>având în vedere raportul Comisiei pentru bugete (A9-0180/2024),</w:t>
      </w:r>
    </w:p>
    <w:p w14:paraId="5ECE1FF3" w14:textId="77777777" w:rsidR="00896C52" w:rsidRPr="00E9484B" w:rsidRDefault="00896C52" w:rsidP="00896C52">
      <w:pPr>
        <w:pStyle w:val="Action"/>
        <w:tabs>
          <w:tab w:val="clear" w:pos="357"/>
        </w:tabs>
        <w:spacing w:after="200"/>
        <w:ind w:left="567" w:hanging="567"/>
        <w:outlineLvl w:val="0"/>
        <w:rPr>
          <w:szCs w:val="24"/>
        </w:rPr>
      </w:pPr>
      <w:r w:rsidRPr="00E9484B">
        <w:t>A.</w:t>
      </w:r>
      <w:r w:rsidRPr="00E9484B">
        <w:tab/>
        <w:t xml:space="preserve">întrucât bugetul propus la 26 februarie 2024 de Secretarul General pentru proiectul preliminar de estimare a bugetului Parlamentului pentru 2025 se ridică la 2 507 233 329 EUR și reprezintă o majorare de 5,21 % sau 124 132 017 EUR față de bugetul pe 2024; </w:t>
      </w:r>
    </w:p>
    <w:p w14:paraId="24ACA564" w14:textId="77777777" w:rsidR="00896C52" w:rsidRPr="00E9484B" w:rsidRDefault="00896C52" w:rsidP="00896C52">
      <w:pPr>
        <w:pStyle w:val="Action"/>
        <w:tabs>
          <w:tab w:val="clear" w:pos="357"/>
        </w:tabs>
        <w:spacing w:after="200"/>
        <w:ind w:left="567" w:hanging="567"/>
        <w:outlineLvl w:val="0"/>
        <w:rPr>
          <w:szCs w:val="24"/>
        </w:rPr>
      </w:pPr>
      <w:r w:rsidRPr="00E9484B">
        <w:t>B.</w:t>
      </w:r>
      <w:r w:rsidRPr="00E9484B">
        <w:tab/>
        <w:t>întrucât Comisia estimează că rata inflației în UE va fi de 3 % în 2024 și de 2,5 % în 2025 în previziunile sale (intermediare) pentru iarna anului 2024; întrucât nivelul cheltuielilor de la rubrica 7 din CFM 2021-2027 se bazează pe o creștere anuală de 2 %;</w:t>
      </w:r>
    </w:p>
    <w:p w14:paraId="0E51A753" w14:textId="77777777" w:rsidR="00896C52" w:rsidRPr="00E9484B" w:rsidRDefault="00896C52" w:rsidP="00896C52">
      <w:pPr>
        <w:pStyle w:val="Action"/>
        <w:tabs>
          <w:tab w:val="clear" w:pos="357"/>
        </w:tabs>
        <w:spacing w:after="200"/>
        <w:ind w:left="567" w:hanging="567"/>
        <w:outlineLvl w:val="0"/>
        <w:rPr>
          <w:szCs w:val="24"/>
        </w:rPr>
      </w:pPr>
      <w:r w:rsidRPr="00E9484B">
        <w:t>C.</w:t>
      </w:r>
      <w:r w:rsidRPr="00E9484B">
        <w:tab/>
        <w:t xml:space="preserve">întrucât credibilitatea Parlamentului depinde de capacitatea sa de a desfășura principalele sale activități bugetare, legislative și de control la cel mai înalt nivel, dând totodată un exemplu în raport cu alte instituții ale Uniunii pentru a-și planifica și efectua cheltuielile cu prudență și eficiență și pentru a reflecta realitățile economice predominante; </w:t>
      </w:r>
    </w:p>
    <w:p w14:paraId="6D8CE541" w14:textId="77777777" w:rsidR="00896C52" w:rsidRPr="00E9484B" w:rsidRDefault="00896C52" w:rsidP="00896C52">
      <w:pPr>
        <w:pStyle w:val="Action"/>
        <w:tabs>
          <w:tab w:val="clear" w:pos="357"/>
        </w:tabs>
        <w:spacing w:after="200"/>
        <w:ind w:left="567" w:hanging="567"/>
        <w:outlineLvl w:val="0"/>
        <w:rPr>
          <w:szCs w:val="24"/>
        </w:rPr>
      </w:pPr>
      <w:r w:rsidRPr="00E9484B">
        <w:t>D.</w:t>
      </w:r>
      <w:r w:rsidRPr="00E9484B">
        <w:tab/>
        <w:t>întrucât 2025 va fi primul an complet de după alegeri și, prin urmare, va marca o revenire la ritmul normal al activităților politice de bază și al activităților de sprijin;</w:t>
      </w:r>
    </w:p>
    <w:p w14:paraId="5143E11A" w14:textId="0023BB48" w:rsidR="00896C52" w:rsidRPr="00E9484B" w:rsidRDefault="00896C52" w:rsidP="00896C52">
      <w:pPr>
        <w:pStyle w:val="Action"/>
        <w:tabs>
          <w:tab w:val="clear" w:pos="357"/>
        </w:tabs>
        <w:spacing w:after="200"/>
        <w:ind w:left="567" w:hanging="567"/>
        <w:outlineLvl w:val="0"/>
        <w:rPr>
          <w:szCs w:val="24"/>
        </w:rPr>
      </w:pPr>
      <w:r w:rsidRPr="00E9484B">
        <w:t xml:space="preserve">E. </w:t>
      </w:r>
      <w:r w:rsidRPr="00E9484B">
        <w:tab/>
        <w:t xml:space="preserve">întrucât Parlamentul a </w:t>
      </w:r>
      <w:r w:rsidR="00765766" w:rsidRPr="00E9484B">
        <w:t xml:space="preserve">finalizat </w:t>
      </w:r>
      <w:r w:rsidRPr="00E9484B">
        <w:t xml:space="preserve">procesul său de reformă profundă inițiat anul trecut pentru a-și revizui, pe de o parte, metodele interne de lucru pentru a face activitatea parlamentară mai eficientă și, pe de altă parte, pentru a-și consolida rolul instituțional, conducând la o mai bună funcționare a Parlamentului în calitate de </w:t>
      </w:r>
      <w:proofErr w:type="spellStart"/>
      <w:r w:rsidRPr="00E9484B">
        <w:t>colegiuitor</w:t>
      </w:r>
      <w:proofErr w:type="spellEnd"/>
      <w:r w:rsidRPr="00E9484B">
        <w:t>, în calitate de componentă a autorității bugetare, de autoritate care acordă descărcarea de gestiune și pentru a crește capacitatea sa de a exercita controlul democratic,</w:t>
      </w:r>
    </w:p>
    <w:p w14:paraId="341F9144" w14:textId="77777777" w:rsidR="00896C52" w:rsidRPr="00E9484B" w:rsidRDefault="00896C52" w:rsidP="00896C52">
      <w:pPr>
        <w:tabs>
          <w:tab w:val="left" w:pos="567"/>
        </w:tabs>
        <w:spacing w:after="240"/>
        <w:ind w:left="567" w:hanging="567"/>
        <w:rPr>
          <w:b/>
          <w:bCs/>
          <w:i/>
          <w:iCs/>
          <w:szCs w:val="24"/>
        </w:rPr>
      </w:pPr>
      <w:r w:rsidRPr="00E9484B">
        <w:rPr>
          <w:b/>
          <w:i/>
        </w:rPr>
        <w:t>Cadru general</w:t>
      </w:r>
    </w:p>
    <w:p w14:paraId="3A14A9FB" w14:textId="77777777" w:rsidR="00896C52" w:rsidRPr="00E9484B" w:rsidRDefault="00896C52" w:rsidP="00896C52">
      <w:pPr>
        <w:pStyle w:val="action0"/>
        <w:spacing w:after="200"/>
        <w:ind w:left="567" w:hanging="567"/>
        <w:rPr>
          <w:bCs/>
          <w:iCs/>
        </w:rPr>
      </w:pPr>
      <w:r w:rsidRPr="00E9484B">
        <w:t>1.</w:t>
      </w:r>
      <w:r w:rsidRPr="00E9484B">
        <w:tab/>
        <w:t>este preocupat de situația de la rubrica 7 din actualul CFM; reamintește că constrângerile sunt rezultatul reducerilor aplicate de Consiliu propunerii inițiale a Comisiei, deja foarte scăzute, atunci când a convenit asupra actualului CFM 2021-2027; regretă opoziția Consiliului față de propunerea Comisiei de a majora plafonul rubricii 7 în cadrul revizuirii CFM începând cu 2024; subliniază că problema plafonului de la rubrica 7 nu a fost abordată în cadrul revizuirii CFM; subliniază că marja negativă preconizată pentru 2025 presupune utilizarea instrumentelor speciale de la rubrica 7 în acest scop;</w:t>
      </w:r>
    </w:p>
    <w:p w14:paraId="45C9D893" w14:textId="77777777" w:rsidR="00896C52" w:rsidRPr="00E9484B" w:rsidRDefault="00896C52" w:rsidP="00896C52">
      <w:pPr>
        <w:pStyle w:val="action0"/>
        <w:spacing w:after="200"/>
        <w:ind w:left="567" w:hanging="567"/>
      </w:pPr>
      <w:r w:rsidRPr="00E9484B">
        <w:t xml:space="preserve">2. </w:t>
      </w:r>
      <w:r w:rsidRPr="00E9484B">
        <w:tab/>
        <w:t>reamintește că aproape două treimi din buget este stabilit prin obligații statutare; reamintește că, potrivit estimărilor actuale ale Comisiei, indexarea salariilor, care va avea loc în conformitate cu Statutul funcționarilor și cu Statutul deputaților în Parlamentul European, va conduce, în iulie 2024, aprilie 2025 și, respectiv, iulie 2025 la majorări de 5,3 %, 0,6 % și, respectiv, 3,7 %; ia act de faptul că bugetul pe 2024 include o indexare salarială de 3,4 % începând din iulie 2024; ia act de faptul că Comisia pentru bugete va monitoriza evoluția preconizată oficială a indexării salariale;</w:t>
      </w:r>
    </w:p>
    <w:p w14:paraId="6B8669CC" w14:textId="77777777" w:rsidR="00896C52" w:rsidRPr="00E9484B" w:rsidRDefault="00896C52" w:rsidP="00896C52">
      <w:pPr>
        <w:pStyle w:val="action0"/>
        <w:ind w:left="567" w:hanging="567"/>
      </w:pPr>
      <w:r w:rsidRPr="00E9484B">
        <w:t>3.</w:t>
      </w:r>
      <w:r w:rsidRPr="00E9484B">
        <w:tab/>
        <w:t xml:space="preserve">aprobă acordul la care s-a ajuns în cadrul concilierii dintre Birou și Comisia pentru bugete din 9 aprilie 2024 de a stabili majorarea față de bugetul 2024 la 4,87 %, ceea ce corespunde unui nivel global al estimărilor de 2 499 233 329 EUR pentru 2025, și de a reduce în consecință creditele propuse la următoarele linii bugetare, în valoare totală de 11 000 000 EUR: </w:t>
      </w:r>
    </w:p>
    <w:p w14:paraId="1E95B49E" w14:textId="77777777" w:rsidR="00896C52" w:rsidRPr="00E9484B" w:rsidRDefault="00896C52" w:rsidP="00896C52">
      <w:pPr>
        <w:pStyle w:val="action0"/>
        <w:ind w:left="567" w:firstLine="0"/>
      </w:pPr>
      <w:r w:rsidRPr="00E9484B">
        <w:t>2 0 0 0 – chirie, 2 0 0 7 – Construirea de clădiri și amenajarea clădirilor, 2 3 9 0 – EMAS și activități de durabilitate, inclusiv promovarea, și sistemul de compensare a emisiilor de dioxid de carbon al Parlamentului European, 3 2 4 2 – Cheltuieli de publicare, informare și participare la evenimente publice, 3 2 4 3 – centre pentru vizitatori ale Parlamentului European, 1 0 1 – Rezervă pentru situații neprevăzute;</w:t>
      </w:r>
    </w:p>
    <w:p w14:paraId="703ECE76" w14:textId="77777777" w:rsidR="00896C52" w:rsidRPr="00E9484B" w:rsidRDefault="00896C52" w:rsidP="00896C52">
      <w:pPr>
        <w:pStyle w:val="action0"/>
        <w:ind w:left="567" w:firstLine="0"/>
      </w:pPr>
      <w:r w:rsidRPr="00E9484B">
        <w:t>în plus, decide creșterea nivelului cheltuielilor din proiectul preliminar de estimare a bugetului aprobat de Birou la 11 martie 2024 cu 3 000 000 EUR și majorarea în consecință a creditelor propuse pentru următoarele linii bugetare:</w:t>
      </w:r>
    </w:p>
    <w:p w14:paraId="3483867F" w14:textId="77777777" w:rsidR="00896C52" w:rsidRPr="00E9484B" w:rsidRDefault="00896C52" w:rsidP="00896C52">
      <w:pPr>
        <w:pStyle w:val="action0"/>
        <w:ind w:left="567" w:firstLine="0"/>
      </w:pPr>
      <w:r w:rsidRPr="00E9484B">
        <w:t xml:space="preserve">3 2 4 4 — Organizarea și primirea grupurilor de vizitatori, programul </w:t>
      </w:r>
      <w:proofErr w:type="spellStart"/>
      <w:r w:rsidRPr="00E9484B">
        <w:t>Euroscola</w:t>
      </w:r>
      <w:proofErr w:type="spellEnd"/>
      <w:r w:rsidRPr="00E9484B">
        <w:t xml:space="preserve"> și invitarea multiplicatorilor de opinie din țările terțe; 4 0 3 — Finanțarea fundațiilor politice europene;</w:t>
      </w:r>
    </w:p>
    <w:p w14:paraId="34CB72E8" w14:textId="77777777" w:rsidR="00896C52" w:rsidRPr="00E9484B" w:rsidRDefault="00896C52" w:rsidP="00896C52">
      <w:pPr>
        <w:pStyle w:val="action0"/>
        <w:spacing w:after="200"/>
        <w:ind w:left="567" w:hanging="567"/>
      </w:pPr>
      <w:r w:rsidRPr="00E9484B">
        <w:t>4.</w:t>
      </w:r>
      <w:r w:rsidRPr="00E9484B">
        <w:tab/>
        <w:t>constată că, din creșterea cu 116 de milioane EUR față de bugetul pe 2024, o creștere de 98 de milioane EUR se datorează obligațiilor statutare, în special actualizărilor salariale pentru personal (54,7 milioane EUR) și cheltuielilor legate de asistența parlamentară (33,2 milioane EUR); constată că majorarea cheltuielilor nestatutare între 2024 și 2025 nu depășește 2 %;</w:t>
      </w:r>
    </w:p>
    <w:p w14:paraId="7C03EDAB" w14:textId="77777777" w:rsidR="00896C52" w:rsidRPr="00E9484B" w:rsidRDefault="00896C52" w:rsidP="00896C52">
      <w:pPr>
        <w:pStyle w:val="action0"/>
        <w:spacing w:after="200"/>
        <w:ind w:left="567" w:hanging="567"/>
      </w:pPr>
      <w:r w:rsidRPr="00E9484B">
        <w:t xml:space="preserve">5. </w:t>
      </w:r>
      <w:r w:rsidRPr="00E9484B">
        <w:tab/>
        <w:t>constată că Parlamentul nu solicită posturi suplimentare pentru 2025;</w:t>
      </w:r>
    </w:p>
    <w:p w14:paraId="3DC1AC96" w14:textId="77777777" w:rsidR="00896C52" w:rsidRPr="00E9484B" w:rsidRDefault="00896C52" w:rsidP="00896C52">
      <w:pPr>
        <w:pStyle w:val="action0"/>
        <w:spacing w:after="200"/>
        <w:ind w:left="567" w:hanging="567"/>
      </w:pPr>
      <w:r w:rsidRPr="00E9484B">
        <w:t xml:space="preserve">6. </w:t>
      </w:r>
      <w:r w:rsidRPr="00E9484B">
        <w:tab/>
        <w:t>ia act de faptul că cele 98 de posturi permanente create în bugetul pe 2023 pentru a facilita aplicarea articolului 29 alineatul (4) din Statutul funcționarilor au fost eliminate din schema de personal pentru 2025;</w:t>
      </w:r>
    </w:p>
    <w:p w14:paraId="4A06CCE2" w14:textId="77777777" w:rsidR="00896C52" w:rsidRPr="00E9484B" w:rsidRDefault="00896C52" w:rsidP="00896C52">
      <w:pPr>
        <w:pStyle w:val="Action"/>
        <w:spacing w:after="200"/>
        <w:outlineLvl w:val="0"/>
        <w:rPr>
          <w:b/>
          <w:i/>
          <w:szCs w:val="24"/>
        </w:rPr>
      </w:pPr>
      <w:r w:rsidRPr="00E9484B">
        <w:rPr>
          <w:b/>
          <w:i/>
        </w:rPr>
        <w:t xml:space="preserve">Grupurile de vizitatori și centrele „Europa </w:t>
      </w:r>
      <w:proofErr w:type="spellStart"/>
      <w:r w:rsidRPr="00E9484B">
        <w:rPr>
          <w:b/>
          <w:i/>
        </w:rPr>
        <w:t>Experience</w:t>
      </w:r>
      <w:proofErr w:type="spellEnd"/>
      <w:r w:rsidRPr="00E9484B">
        <w:rPr>
          <w:b/>
          <w:i/>
        </w:rPr>
        <w:t>”</w:t>
      </w:r>
    </w:p>
    <w:p w14:paraId="01EEE481" w14:textId="77777777" w:rsidR="00896C52" w:rsidRPr="00E9484B" w:rsidRDefault="00896C52" w:rsidP="00896C52">
      <w:pPr>
        <w:pStyle w:val="action0"/>
        <w:spacing w:after="200"/>
        <w:ind w:left="567" w:hanging="567"/>
      </w:pPr>
      <w:r w:rsidRPr="00E9484B">
        <w:t>7.</w:t>
      </w:r>
      <w:r w:rsidRPr="00E9484B">
        <w:tab/>
        <w:t>reamintește că grupurile de vizitatori în toate locurile de desfășurare a activității Parlamentului reprezintă un instrument important pentru ca deputații să se conecteze cu alegătorii și să își demonstreze activitatea parlamentară în fața alegătorilor; subliniază că grupurile de vizitatori contribuie la promovarea rolului Parlamentului în rândul alegătorilor din întreaga Uniune;</w:t>
      </w:r>
    </w:p>
    <w:p w14:paraId="44C0D9A4" w14:textId="77777777" w:rsidR="00896C52" w:rsidRPr="00E9484B" w:rsidRDefault="00896C52" w:rsidP="00896C52">
      <w:pPr>
        <w:pStyle w:val="action0"/>
        <w:spacing w:after="200"/>
        <w:ind w:left="567" w:hanging="567"/>
      </w:pPr>
      <w:r w:rsidRPr="00E9484B">
        <w:t>8.</w:t>
      </w:r>
      <w:r w:rsidRPr="00E9484B">
        <w:tab/>
        <w:t xml:space="preserve">ia act cu îngrijorare de dificultățile tot mai mari legate de organizarea unor astfel de vizite din cauza limitărilor financiare ale bugetului existent, în special pentru deputații din statele membre care sunt departe din punct de vedere geografic de Bruxelles și Strasbourg; solicită finanțare suficientă pentru a acoperi cheltuielile legate de deplasare și cazare, ținând seama de ratele inflației și de prețuri, atât în țările de origine ale grupurilor de vizitatori, cât și în Bruxelles și Strasbourg; consideră că este necesară o creștere cu 10 % a alocației per persoană pentru a face față condițiilor actuale; invită Secretarul General să propună chestorilor cât mai curând posibil o creștere a plafoanelor pentru costurile acoperite, pentru a continua și a consolida sprijinul acordat deputaților pentru a permite grupurilor de vizitatori să viziteze Parlamentul; </w:t>
      </w:r>
    </w:p>
    <w:p w14:paraId="356A4BF0" w14:textId="77777777" w:rsidR="00896C52" w:rsidRPr="00E9484B" w:rsidRDefault="00896C52" w:rsidP="00896C52">
      <w:pPr>
        <w:pStyle w:val="action0"/>
        <w:spacing w:after="200"/>
        <w:ind w:left="567" w:hanging="567"/>
      </w:pPr>
      <w:r w:rsidRPr="00E9484B">
        <w:t>9.</w:t>
      </w:r>
      <w:r w:rsidRPr="00E9484B">
        <w:tab/>
        <w:t>ia act cu îngrijorare de normele interne care reglementează grupurile de vizitatori ai deputaților în Parlamentul European, care obligă asistenții parlamentari acreditați (APA) să suporte, în anumite circumstanțe, 30 % din costurile inițiale; subliniază impracticabilitatea acestor norme și sarcina financiară pe care acestea o impun asistenților parlamentari acreditați; invită Biroul să își revizuiască și să își actualizeze normele existente privind vizitele pentru a depăși dificultățile legate de planificarea și organizarea vizitelor;</w:t>
      </w:r>
    </w:p>
    <w:p w14:paraId="49EFFB1F" w14:textId="77777777" w:rsidR="00896C52" w:rsidRPr="00E9484B" w:rsidRDefault="00896C52" w:rsidP="00896C52">
      <w:pPr>
        <w:pStyle w:val="NormalHanging12a"/>
        <w:spacing w:after="200"/>
        <w:rPr>
          <w:szCs w:val="24"/>
        </w:rPr>
      </w:pPr>
      <w:r w:rsidRPr="00E9484B">
        <w:t>10.</w:t>
      </w:r>
      <w:r w:rsidRPr="00E9484B">
        <w:tab/>
        <w:t xml:space="preserve">reamintește decizia Biroului din 25 noiembrie 2019 de a înființa centre „Europa </w:t>
      </w:r>
      <w:proofErr w:type="spellStart"/>
      <w:r w:rsidRPr="00E9484B">
        <w:t>Experience</w:t>
      </w:r>
      <w:proofErr w:type="spellEnd"/>
      <w:r w:rsidRPr="00E9484B">
        <w:t xml:space="preserve">” în toate statele membre până la sfârșitul anului 2024; regretă întârzierile în crearea de centre „Europa </w:t>
      </w:r>
      <w:proofErr w:type="spellStart"/>
      <w:r w:rsidRPr="00E9484B">
        <w:t>Experience</w:t>
      </w:r>
      <w:proofErr w:type="spellEnd"/>
      <w:r w:rsidRPr="00E9484B">
        <w:t>” în toate statele membre înainte de alegerile parlamentare din 2024 și constată că, în prezent, doar 12 sunt în funcțiune; recunoaște că o serie de factori externi, inclusiv volatilitatea piețelor imobiliare, au contribuit la aceste întârzieri;</w:t>
      </w:r>
    </w:p>
    <w:p w14:paraId="1681B24D" w14:textId="77777777" w:rsidR="00896C52" w:rsidRPr="00E9484B" w:rsidRDefault="00896C52" w:rsidP="00896C52">
      <w:pPr>
        <w:pStyle w:val="action0"/>
        <w:spacing w:after="200"/>
        <w:ind w:left="567" w:hanging="567"/>
      </w:pPr>
      <w:r w:rsidRPr="00E9484B">
        <w:t>11.</w:t>
      </w:r>
      <w:r w:rsidRPr="00E9484B">
        <w:tab/>
        <w:t xml:space="preserve">ia act de faptul că în 2025 urmează să fie deschise cinci centre (la Atena, Zagreb, Haga, Sofia și Budapesta); solicită înființarea de centre „Europa </w:t>
      </w:r>
      <w:proofErr w:type="spellStart"/>
      <w:r w:rsidRPr="00E9484B">
        <w:t>Experience</w:t>
      </w:r>
      <w:proofErr w:type="spellEnd"/>
      <w:r w:rsidRPr="00E9484B">
        <w:t xml:space="preserve">” în toate statele membre cât mai curând posibil; reamintește că proiectul „Europa </w:t>
      </w:r>
      <w:proofErr w:type="spellStart"/>
      <w:r w:rsidRPr="00E9484B">
        <w:t>Experience</w:t>
      </w:r>
      <w:proofErr w:type="spellEnd"/>
      <w:r w:rsidRPr="00E9484B">
        <w:t>” ar trebui să le permită tuturor cetățenilor să înțeleagă mai bine funcționarea instituțiilor europene;</w:t>
      </w:r>
    </w:p>
    <w:p w14:paraId="08A1E5E1" w14:textId="77777777" w:rsidR="00896C52" w:rsidRPr="00E9484B" w:rsidRDefault="00896C52" w:rsidP="00896C52">
      <w:pPr>
        <w:pStyle w:val="Action"/>
        <w:keepNext/>
        <w:spacing w:after="200"/>
        <w:outlineLvl w:val="0"/>
        <w:rPr>
          <w:b/>
          <w:bCs/>
          <w:i/>
          <w:szCs w:val="24"/>
        </w:rPr>
      </w:pPr>
      <w:r w:rsidRPr="00E9484B">
        <w:rPr>
          <w:b/>
          <w:i/>
        </w:rPr>
        <w:t>Infrastructura</w:t>
      </w:r>
    </w:p>
    <w:p w14:paraId="45FC9B2A" w14:textId="75D46270" w:rsidR="00896C52" w:rsidRPr="00E9484B" w:rsidRDefault="00896C52" w:rsidP="00896C52">
      <w:pPr>
        <w:spacing w:after="200"/>
        <w:ind w:left="567" w:hanging="709"/>
      </w:pPr>
      <w:r w:rsidRPr="00E9484B">
        <w:t xml:space="preserve">12. </w:t>
      </w:r>
      <w:r w:rsidRPr="00E9484B">
        <w:tab/>
        <w:t>ia act de faptul că Comisia pentru bugete a aprobat decizia Biroului de a efectua o renovare ecologică profundă a clădirii SPAAK, în conformitate cu rezoluția sa din 19 octombrie 2022 referitoare la poziția Consiliului privind proiectul de buget general al Uniunii Europene pentru exercițiul financiar 2023</w:t>
      </w:r>
      <w:r w:rsidR="003A1B98" w:rsidRPr="00E9484B">
        <w:rPr>
          <w:rStyle w:val="FootnoteReference"/>
          <w:szCs w:val="24"/>
        </w:rPr>
        <w:footnoteReference w:id="14"/>
      </w:r>
      <w:r w:rsidRPr="00E9484B">
        <w:t>; subliniază că actuala clădire are un nivel foarte scăzut de eficiență energetică și îi lipsește flexibilitatea necesară pentru a fi adecvată scopului său; subliniază că Parlamentul ar trebui să-și gestioneze propriul portofoliu de clădiri în ceea ce privește eficiența energetică și durabilitatea, pentru a se alinia la obiectivele Pactului verde; constată că renovarea va duce la economii semnificative anuale și la reducerea emisiilor de CO2 și va contribui la respectarea cerințelor Directivei revizuite europene privind eficiența energetică și ale Directivei privind performanța energetică a clădirilor; reamintește Biroului că sunt necesare transparența, informațiile adecvate și consultarea Comisiei pentru bugete, inclusiv accesul la detaliile cuprinzătoare, înainte de a se adopta orice decizie majoră privind chestiunile legate de clădiri și finanțarea acestora, ținând seama de implicațiile bugetare importante ale acestora;</w:t>
      </w:r>
    </w:p>
    <w:p w14:paraId="06D97D77" w14:textId="77777777" w:rsidR="00896C52" w:rsidRPr="00E9484B" w:rsidRDefault="00896C52" w:rsidP="00896C52">
      <w:pPr>
        <w:pStyle w:val="action0"/>
        <w:spacing w:after="200"/>
        <w:ind w:left="567" w:hanging="567"/>
      </w:pPr>
      <w:r w:rsidRPr="00E9484B">
        <w:t>13.</w:t>
      </w:r>
      <w:r w:rsidRPr="00E9484B">
        <w:tab/>
        <w:t xml:space="preserve">recunoaște că trebuie să se înceapă lucrările de renovare a clădirii TREVES II în 2025 pentru a permite cazarea temporară a personalului care va fi mutat ca parte a renovărilor clădirii SPAAK; </w:t>
      </w:r>
    </w:p>
    <w:p w14:paraId="60AF0496" w14:textId="77777777" w:rsidR="00896C52" w:rsidRPr="00E9484B" w:rsidRDefault="00896C52" w:rsidP="00896C52">
      <w:pPr>
        <w:pStyle w:val="NormalHanging12a"/>
        <w:rPr>
          <w:szCs w:val="24"/>
        </w:rPr>
      </w:pPr>
      <w:r w:rsidRPr="00E9484B">
        <w:t>14.</w:t>
      </w:r>
      <w:r w:rsidRPr="00E9484B">
        <w:tab/>
        <w:t>salută politica Parlamentului care vizează asigurarea unei utilizări pe deplin independente a clădirilor Parlamentului de către persoanele cu dizabilități și sprijină măsurile și adaptările suplimentare care vor fi necesare în acest sens; recunoaște că trebuie să se îmbunătățească accesul persoanelor cu dizabilități la hemiciclul de la Strasbourg;</w:t>
      </w:r>
    </w:p>
    <w:p w14:paraId="354FDDD6" w14:textId="77777777" w:rsidR="00896C52" w:rsidRPr="00E9484B" w:rsidRDefault="00896C52" w:rsidP="00896C52">
      <w:pPr>
        <w:pStyle w:val="action0"/>
        <w:spacing w:after="200"/>
        <w:ind w:left="567" w:hanging="567"/>
      </w:pPr>
      <w:r w:rsidRPr="00E9484B">
        <w:t>15.</w:t>
      </w:r>
      <w:r w:rsidRPr="00E9484B">
        <w:tab/>
        <w:t xml:space="preserve">reamintește că administrația Parlamentului elaborează în prezent o abordare cuprinzătoare pentru a defini politica imobiliară pe termen lung a Parlamentului, luând în considerare în special obligațiile de mediu, costurile și constrângerile bugetare, eficiența energetică și gestionarea deșeurilor în conformitate cu pachetul „Pregătiți pentru 55” și se așteaptă ca rezultatele să fie publicate; solicită să se aibă în vedere modalitățile de lucru flexibile care au apărut ca urmare a pandemiei, ținând seama totodată de faptul că prezența fizică pentru negocierile politice, dezbateri sau schimburile de opinii rămâne o opțiune mai eficientă din perspectiva elaborării politicilor publice; </w:t>
      </w:r>
    </w:p>
    <w:p w14:paraId="53FE316F" w14:textId="77777777" w:rsidR="00896C52" w:rsidRPr="00E9484B" w:rsidRDefault="00896C52" w:rsidP="00896C52">
      <w:pPr>
        <w:pStyle w:val="action0"/>
        <w:spacing w:after="200"/>
        <w:ind w:left="567" w:hanging="567"/>
      </w:pPr>
      <w:r w:rsidRPr="00E9484B">
        <w:t xml:space="preserve">16. </w:t>
      </w:r>
      <w:r w:rsidRPr="00E9484B">
        <w:tab/>
        <w:t>ia act de practica de a utiliza „transferurile colectoare” la sfârșit de an pentru a contribui la proiectele imobiliare; constată că astfel de „transferuri colectoare” au loc în mod sistematic la aceleași capitole, titluri și, adeseori, exact la aceleași linii bugetare; observă că exercițiul anual de „colectare” poate servi, de asemenea, altor scopuri decât finanțarea de proiecte imobiliare;</w:t>
      </w:r>
    </w:p>
    <w:p w14:paraId="59BB4F3B" w14:textId="77777777" w:rsidR="00896C52" w:rsidRPr="00E9484B" w:rsidRDefault="00896C52" w:rsidP="00896C52">
      <w:pPr>
        <w:pStyle w:val="action0"/>
        <w:spacing w:after="200"/>
        <w:ind w:left="567" w:hanging="567"/>
      </w:pPr>
      <w:r w:rsidRPr="00E9484B">
        <w:t>17.</w:t>
      </w:r>
      <w:r w:rsidRPr="00E9484B">
        <w:tab/>
        <w:t>salută eforturile și măsurile continue puse în aplicare de Parlament pentru a-și reduce amprenta de mediu; își reiterează sprijinul deplin pentru obiectivele sistemului de management de mediu al Parlamentului (EMAS) pentru 2024; se așteaptă ca Parlamentul să atingă toate obiectivele privind indicatorii-cheie de performanță din EMAS până la sfârșitul anului 2024 și să adopte noi obiective ambițioase pentru anii următori; ia act, în special, de o serie de realizări în acest sens, inclusiv o reducere cu 44 % a emisiilor de dioxid de carbon din 2006, o reducere cu 66 % a utilizării hârtiei comparativ cu 2014, ratele ridicate ale personalului care merge pe jos sau cu bicicleta la locul de muncă, scăderi semnificative ale utilizării plasticului și introducerea cu succes a infrastructurii de energie din surse regenerabile, care a înregistrat 458 MWh de energie solară generată de Parlament în 2023;</w:t>
      </w:r>
    </w:p>
    <w:p w14:paraId="01DB7775" w14:textId="6FD1661C" w:rsidR="00896C52" w:rsidRPr="00E9484B" w:rsidRDefault="00896C52" w:rsidP="00896C52">
      <w:pPr>
        <w:pStyle w:val="action0"/>
        <w:spacing w:after="200"/>
        <w:ind w:left="567" w:hanging="567"/>
      </w:pPr>
      <w:r w:rsidRPr="00E9484B">
        <w:t>18.</w:t>
      </w:r>
      <w:r w:rsidRPr="00E9484B">
        <w:tab/>
        <w:t>ia act de creșterea prețurilor la creditele pentru emisiile de carbon; reamintește că investițiile în eficiența energetică reprezintă o metodă bună de a obține un bun raport calitate-preț; salută și încurajează investițiile în energia din surse regenerabile și în eliminarea treptată a combustibililor fosili, în special având în vedere criza energetică și contextul geopolitic, și încurajează reflectarea lor în următoarea strategie imobiliară multianuală; constată că Parlamentul a instalat și continuă să instaleze panouri solare fotovoltaice pentru a crește și mai mult ponderea energiei din surse regenerabile produse la fața locului în scopul de a atinge obiectivul de 25 %; reamintește că aproape două treimi din amprenta de carbon a Parlamentului provine din transportul de persoane; salută eforturile Parlamentului de a reduce emisiile de CO2 prin intermediul unor trenuri închiriate și solicită extinderea disponibilităților pentru ca deplasările între cele trei locuri de desfășurare a activității să se facă cu trenul;</w:t>
      </w:r>
    </w:p>
    <w:p w14:paraId="5B8281FE" w14:textId="77777777" w:rsidR="00896C52" w:rsidRPr="00E9484B" w:rsidRDefault="00896C52" w:rsidP="00896C52">
      <w:pPr>
        <w:pStyle w:val="Action"/>
        <w:keepNext/>
        <w:spacing w:after="200"/>
        <w:outlineLvl w:val="0"/>
        <w:rPr>
          <w:b/>
          <w:i/>
          <w:szCs w:val="24"/>
        </w:rPr>
      </w:pPr>
      <w:r w:rsidRPr="00E9484B">
        <w:rPr>
          <w:b/>
          <w:i/>
        </w:rPr>
        <w:t>Alte aspecte</w:t>
      </w:r>
    </w:p>
    <w:p w14:paraId="38C1D9D9" w14:textId="4F473F53" w:rsidR="00896C52" w:rsidRPr="00E9484B" w:rsidRDefault="00896C52" w:rsidP="00896C52">
      <w:pPr>
        <w:pStyle w:val="action0"/>
        <w:spacing w:after="200"/>
        <w:ind w:left="567" w:hanging="567"/>
      </w:pPr>
      <w:r w:rsidRPr="00E9484B">
        <w:t>19.</w:t>
      </w:r>
      <w:r w:rsidRPr="00E9484B">
        <w:tab/>
        <w:t>reamintește lupta continuă în care este implicată Uniunea pentru a proteja valorile europene și a susține integritatea proceselor noastre democratice; salută acțiunile întreprinse de Parlament în vederea atingerii acestor obiective, luptând împotriva dezinformării și a manipulării informațiilor; invită DG COMM și birourile de legătură ale Parlamentului European să continue să elaboreze și să pună în aplicare strategii eficace de combatere a dezinformării și a manipulării informațiilor; subliniază că una dintre cele mai puternice arme împotriva dezinformării este comunicarea pozitivă și bazată pe fapte cu privire la activitățile Parlamentului;</w:t>
      </w:r>
    </w:p>
    <w:p w14:paraId="7FCF2BE0" w14:textId="77777777" w:rsidR="00896C52" w:rsidRPr="00E9484B" w:rsidRDefault="00896C52" w:rsidP="00896C52">
      <w:pPr>
        <w:pStyle w:val="action0"/>
        <w:spacing w:after="200"/>
        <w:ind w:left="567" w:hanging="567"/>
        <w:rPr>
          <w:rFonts w:eastAsia="Times New Roman"/>
        </w:rPr>
      </w:pPr>
      <w:r w:rsidRPr="00E9484B">
        <w:t>20.</w:t>
      </w:r>
      <w:r w:rsidRPr="00E9484B">
        <w:tab/>
        <w:t xml:space="preserve">reamintește că Parlamentul sprijină cu fermitate multilingvismul și promovează drepturile minorităților naționale, regionale și lingvistice; consideră că Parlamentul European poate contribui în mod activ la lupta împotriva dezinformării, aprofundând comunicarea și în limbile diferitelor minorități și comunități lingvistice, atunci când este cazul; solicită Biroului să crească amploarea producției și difuzării de către Parlament a materialelor de comunicare care sunt în concordanță cu nevoile minorităților naționale, regionale și lingvistice din statele membre, de exemplu în Birourile de legătură ale PE și centrele „Europa </w:t>
      </w:r>
      <w:proofErr w:type="spellStart"/>
      <w:r w:rsidRPr="00E9484B">
        <w:t>Experience</w:t>
      </w:r>
      <w:proofErr w:type="spellEnd"/>
      <w:r w:rsidRPr="00E9484B">
        <w:t>”, ca o modalitate de a contracara orice încercare de exploatare a diferențelor lingvistice pentru a submina coeziunea; reamintește în acest sens eforturile depuse de birourile de legătură ale Parlamentului European din țările baltice pentru a furniza cetățenilor informații în ucraineană și rusă de la începutul războiului de agresiune al Rusiei în Ucraina, cu un accent deosebit pe combaterea dezinformării și a propagandei rusești și încurajează continuarea sprijinului și promovării acestor activități în ucraineană și rusă; subliniază importanța participării active a birourilor de legătură ale Parlamentului European la desfășurarea activității Parlamentului privind educația civică prin intermediul mai multor programe care implică comunități locale, școli și universități;</w:t>
      </w:r>
    </w:p>
    <w:p w14:paraId="49D32C9B" w14:textId="77777777" w:rsidR="00896C52" w:rsidRPr="00E9484B" w:rsidRDefault="00896C52" w:rsidP="00896C52">
      <w:pPr>
        <w:pStyle w:val="action0"/>
        <w:spacing w:after="200"/>
        <w:ind w:left="567" w:hanging="567"/>
      </w:pPr>
      <w:r w:rsidRPr="00E9484B">
        <w:t>21.</w:t>
      </w:r>
      <w:r w:rsidRPr="00E9484B">
        <w:tab/>
        <w:t xml:space="preserve">subliniază potențialul inteligenței artificiale (IA) de a sprijini deputații să își exercite mandatul și pentru diverse activități ale administrației Parlamentului; salută faptul că proiectele din domeniul IA sunt deja în curs de pregătire pentru 2025; </w:t>
      </w:r>
    </w:p>
    <w:p w14:paraId="45631671" w14:textId="77777777" w:rsidR="00896C52" w:rsidRPr="00E9484B" w:rsidRDefault="00896C52" w:rsidP="00896C52">
      <w:pPr>
        <w:pStyle w:val="action0"/>
        <w:spacing w:after="200"/>
        <w:ind w:left="567" w:hanging="567"/>
      </w:pPr>
      <w:r w:rsidRPr="00E9484B">
        <w:t>22.</w:t>
      </w:r>
      <w:r w:rsidRPr="00E9484B">
        <w:tab/>
        <w:t>sprijină anunțul făcut de Secretarul General în cadrul Comisiei BUDG de a reduce sarcina administrativă și birocrația pentru deputați și birourile acestora, accelerând în același timp digitalizarea proceselor în cadrul administrației; subliniază că investițiile în digitalizare generează un randament al investițiilor pe termen mediu și nu ar trebui amânate din cauza economiilor de costuri pe termen scurt;</w:t>
      </w:r>
    </w:p>
    <w:p w14:paraId="0560C89E" w14:textId="77777777" w:rsidR="00896C52" w:rsidRPr="00E9484B" w:rsidRDefault="00896C52" w:rsidP="00896C52">
      <w:pPr>
        <w:spacing w:after="200"/>
        <w:ind w:left="567" w:hanging="567"/>
      </w:pPr>
      <w:r w:rsidRPr="00E9484B">
        <w:t>23.</w:t>
      </w:r>
      <w:r w:rsidRPr="00E9484B">
        <w:tab/>
        <w:t>invită Parlamentul să continue să evalueze periodic organizarea nevoilor sale de personal, să optimizeze repartizarea personalului în Secretariatul Parlamentului, în special prin realocarea posturilor vacante între servicii pentru a menține pe cât posibil un nivel constant de personal; invită Secretarul General să evalueze riscurile legate de angajarea unui număr tot mai mare de agenți contractuali, inclusiv riscul de a crea două categorii de personal în Parlament; insistă că posturile și sarcinile permanente de bază ar trebui încredințate personalului permanent;</w:t>
      </w:r>
    </w:p>
    <w:p w14:paraId="6CFD0786" w14:textId="77777777" w:rsidR="00896C52" w:rsidRPr="00E9484B" w:rsidRDefault="00896C52" w:rsidP="00896C52">
      <w:pPr>
        <w:pStyle w:val="action0"/>
        <w:spacing w:after="200"/>
        <w:ind w:left="567" w:hanging="567"/>
      </w:pPr>
      <w:r w:rsidRPr="00E9484B">
        <w:t>24.</w:t>
      </w:r>
      <w:r w:rsidRPr="00E9484B">
        <w:tab/>
        <w:t>subliniază că asigurarea unui echilibru geografic echitabil constituie o parte importantă a creării unui serviciu public cu adevărat european; remarcă faptul că, de-a lungul anilor, Parlamentul a luat o serie de măsuri în acest sens; constată că situația poate fi îmbunătățită în continuare; constată că Biroul a creat cadrul juridic pentru organizarea de concursuri specifice fiecărei naționalități și a decis să organizeze primul astfel de concurs; subliniază că concursurile ar trebui să se bazeze întotdeauna pe merit;</w:t>
      </w:r>
    </w:p>
    <w:p w14:paraId="42168D60" w14:textId="77777777" w:rsidR="00896C52" w:rsidRPr="00E9484B" w:rsidRDefault="00896C52" w:rsidP="00896C52">
      <w:pPr>
        <w:spacing w:after="200"/>
        <w:ind w:left="567" w:hanging="567"/>
      </w:pPr>
      <w:r w:rsidRPr="00E9484B">
        <w:t>25.</w:t>
      </w:r>
      <w:r w:rsidRPr="00E9484B">
        <w:tab/>
        <w:t>ia act de procedura deja în vigoare pentru cererile unui utilizator dintr-un organism parlamentar de interpretare în limbajul internațional al semnelor la o reuniune; solicită Secretarului General să analizeze în continuare alte posibilități, cum ar fi instrumentele de traducere automată (Speech-</w:t>
      </w:r>
      <w:proofErr w:type="spellStart"/>
      <w:r w:rsidRPr="00E9484B">
        <w:t>to</w:t>
      </w:r>
      <w:proofErr w:type="spellEnd"/>
      <w:r w:rsidRPr="00E9484B">
        <w:t>-Text) și instrumentele de traducere automată, cu respectarea principiului accesului egal pentru toți cetățenii;</w:t>
      </w:r>
    </w:p>
    <w:p w14:paraId="763A72B7" w14:textId="77777777" w:rsidR="00896C52" w:rsidRPr="00E9484B" w:rsidRDefault="00896C52" w:rsidP="00896C52">
      <w:pPr>
        <w:pStyle w:val="NormalHanging12a"/>
        <w:rPr>
          <w:szCs w:val="24"/>
        </w:rPr>
      </w:pPr>
      <w:r w:rsidRPr="00E9484B">
        <w:t>26.</w:t>
      </w:r>
      <w:r w:rsidRPr="00E9484B">
        <w:tab/>
        <w:t>își reiterează solicitarea adresată Biroului, adoptată în mai multe rânduri în plen, de a începe lucrările de revizuire a Regulamentului de procedură, pentru a le permite deputaților să își exercite dreptul de vot de la distanță în timpul concediului de maternitate sau de paternitate, în timpul unei boli de lungă durată sau în cazuri de forță majoră, chiar și în lipsa unei decizii a Președintelui de constatare a unor circumstanțe extraordinare, ținând seama de lecțiile învățate în timpul pandemiei în ceea ce privește aspectele tehnice ale acestei metode de vot;</w:t>
      </w:r>
    </w:p>
    <w:p w14:paraId="3B4FC453" w14:textId="33EBA3B3" w:rsidR="00896C52" w:rsidRPr="00E9484B" w:rsidRDefault="00896C52" w:rsidP="00896C52">
      <w:pPr>
        <w:pStyle w:val="NormalHanging12a"/>
      </w:pPr>
      <w:r w:rsidRPr="00E9484B">
        <w:t>27.</w:t>
      </w:r>
      <w:r w:rsidRPr="00E9484B">
        <w:tab/>
        <w:t>reiterează apelul adresat Biroului de a garanta că toate restaurantele din Parlament își respectă standardele de calitate, eficiență și accesibilitate și de a reintroduce controlul accesului la intrările în restaurantul cu autoservire în perioadele de vârf; salută punerea în aplicare a controalelor de acces la intrarea în clădirea WEISS cu autoservire din Strasbourg în timpul perioadelor de sesiune;</w:t>
      </w:r>
    </w:p>
    <w:p w14:paraId="71F3E044" w14:textId="042B5B09" w:rsidR="000734C5" w:rsidRPr="00E9484B" w:rsidRDefault="000734C5" w:rsidP="00896C52">
      <w:pPr>
        <w:pStyle w:val="NormalHanging12a"/>
        <w:rPr>
          <w:szCs w:val="24"/>
        </w:rPr>
      </w:pPr>
      <w:r w:rsidRPr="00E9484B">
        <w:t>28.</w:t>
      </w:r>
      <w:r w:rsidRPr="00E9484B">
        <w:tab/>
      </w:r>
      <w:r w:rsidRPr="00E9484B">
        <w:rPr>
          <w:szCs w:val="24"/>
        </w:rPr>
        <w:t>solicită un angajament real pentru aplicarea principiului multilingvismului;</w:t>
      </w:r>
    </w:p>
    <w:p w14:paraId="7E2B8914" w14:textId="7B55366E" w:rsidR="00896C52" w:rsidRPr="00E9484B" w:rsidRDefault="000734C5" w:rsidP="00896C52">
      <w:pPr>
        <w:pStyle w:val="action0"/>
        <w:spacing w:after="200"/>
        <w:ind w:left="567" w:hanging="567"/>
      </w:pPr>
      <w:r w:rsidRPr="00E9484B">
        <w:rPr>
          <w:rStyle w:val="doceo-font-family-base"/>
          <w:shd w:val="clear" w:color="auto" w:fill="FFFFFF"/>
        </w:rPr>
        <w:t>29</w:t>
      </w:r>
      <w:r w:rsidR="00896C52" w:rsidRPr="00E9484B">
        <w:rPr>
          <w:rStyle w:val="doceo-font-family-base"/>
          <w:shd w:val="clear" w:color="auto" w:fill="FFFFFF"/>
        </w:rPr>
        <w:t>.</w:t>
      </w:r>
      <w:r w:rsidR="00896C52" w:rsidRPr="00E9484B">
        <w:rPr>
          <w:rStyle w:val="doceo-font-family-base"/>
          <w:shd w:val="clear" w:color="auto" w:fill="FFFFFF"/>
        </w:rPr>
        <w:tab/>
        <w:t>solicită din nou Conferinței președinților și Biroului să revizuiască Dispozițiile de aplicare privind activitatea delegațiilor și misiunile în afara Uniunii; subliniază că această revizuire ar trebui să aibă în vedere posibilitatea ca asistenții parlamentari acreditați, sub rezerva anumitor condiții, să însoțească deputații în delegațiile și misiunile oficiale ale Parlamentului;</w:t>
      </w:r>
      <w:r w:rsidR="00896C52" w:rsidRPr="00E9484B">
        <w:t xml:space="preserve"> subliniază că această modificare nu ar conduce la nicio modificare a pachetului financiar și ar fi neutră din punct de vedere bugetar;</w:t>
      </w:r>
    </w:p>
    <w:p w14:paraId="39363746" w14:textId="0F160DA7" w:rsidR="00896C52" w:rsidRPr="00E9484B" w:rsidRDefault="000734C5" w:rsidP="007A4EDF">
      <w:pPr>
        <w:pStyle w:val="action0"/>
        <w:spacing w:after="200"/>
        <w:ind w:left="567" w:hanging="567"/>
        <w:rPr>
          <w:snapToGrid w:val="0"/>
        </w:rPr>
      </w:pPr>
      <w:r w:rsidRPr="00E9484B">
        <w:rPr>
          <w:rFonts w:ascii="TimesNewRomanPSMT" w:hAnsi="TimesNewRomanPSMT"/>
        </w:rPr>
        <w:t>30</w:t>
      </w:r>
      <w:r w:rsidR="00896C52" w:rsidRPr="00E9484B">
        <w:rPr>
          <w:rFonts w:ascii="TimesNewRomanPSMT" w:hAnsi="TimesNewRomanPSMT"/>
        </w:rPr>
        <w:t>.</w:t>
      </w:r>
      <w:r w:rsidR="00896C52" w:rsidRPr="00E9484B">
        <w:rPr>
          <w:rFonts w:ascii="TimesNewRomanPSMT" w:hAnsi="TimesNewRomanPSMT"/>
        </w:rPr>
        <w:tab/>
      </w:r>
      <w:r w:rsidR="00896C52" w:rsidRPr="00E9484B">
        <w:t>se așteaptă ca cererile votate de plen să fie puse în aplicare cu prioritate ridicată;</w:t>
      </w:r>
    </w:p>
    <w:p w14:paraId="6FF33F4F" w14:textId="77777777" w:rsidR="00896C52" w:rsidRPr="00E9484B" w:rsidRDefault="00896C52" w:rsidP="00896C52">
      <w:pPr>
        <w:widowControl/>
        <w:tabs>
          <w:tab w:val="left" w:pos="567"/>
        </w:tabs>
        <w:spacing w:after="240"/>
        <w:ind w:left="567" w:hanging="567"/>
        <w:jc w:val="center"/>
        <w:rPr>
          <w:szCs w:val="24"/>
        </w:rPr>
      </w:pPr>
      <w:r w:rsidRPr="00E9484B">
        <w:t>°</w:t>
      </w:r>
    </w:p>
    <w:p w14:paraId="61D0B375" w14:textId="77777777" w:rsidR="00896C52" w:rsidRPr="00E9484B" w:rsidRDefault="00896C52" w:rsidP="00896C52">
      <w:pPr>
        <w:widowControl/>
        <w:tabs>
          <w:tab w:val="left" w:pos="567"/>
        </w:tabs>
        <w:spacing w:after="240"/>
        <w:ind w:left="567" w:hanging="567"/>
        <w:jc w:val="center"/>
        <w:rPr>
          <w:szCs w:val="24"/>
        </w:rPr>
      </w:pPr>
      <w:r w:rsidRPr="00E9484B">
        <w:t>°         °</w:t>
      </w:r>
    </w:p>
    <w:p w14:paraId="1E816FCA" w14:textId="5C168487" w:rsidR="00896C52" w:rsidRPr="00E9484B" w:rsidRDefault="000734C5" w:rsidP="00896C52">
      <w:pPr>
        <w:pStyle w:val="action0"/>
        <w:spacing w:before="200" w:after="200"/>
        <w:ind w:left="567" w:hanging="567"/>
      </w:pPr>
      <w:r w:rsidRPr="00E9484B">
        <w:t>31</w:t>
      </w:r>
      <w:r w:rsidR="00896C52" w:rsidRPr="00E9484B">
        <w:t>.</w:t>
      </w:r>
      <w:r w:rsidR="00896C52" w:rsidRPr="00E9484B">
        <w:tab/>
        <w:t>adoptă estimarea bugetului pentru exercițiul financiar 2025;</w:t>
      </w:r>
    </w:p>
    <w:p w14:paraId="66AA5B84" w14:textId="66E7061C" w:rsidR="00896C52" w:rsidRPr="00E9484B" w:rsidRDefault="000734C5" w:rsidP="00896C52">
      <w:pPr>
        <w:pStyle w:val="action0"/>
        <w:spacing w:after="200"/>
        <w:ind w:left="567" w:hanging="567"/>
      </w:pPr>
      <w:r w:rsidRPr="00E9484B">
        <w:t>32</w:t>
      </w:r>
      <w:r w:rsidR="00896C52" w:rsidRPr="00E9484B">
        <w:t>.</w:t>
      </w:r>
      <w:r w:rsidR="00896C52" w:rsidRPr="00E9484B">
        <w:tab/>
        <w:t>încredințează Președintei sarcina de a transmite Consiliului și Comisiei prezenta rezoluție și estimarea bugetului.</w:t>
      </w:r>
    </w:p>
    <w:p w14:paraId="1EE33562" w14:textId="77777777" w:rsidR="007A4EDF" w:rsidRPr="00E9484B" w:rsidRDefault="007A4EDF" w:rsidP="00896C52">
      <w:pPr>
        <w:pStyle w:val="action0"/>
        <w:spacing w:after="200"/>
        <w:ind w:left="567" w:hanging="567"/>
      </w:pPr>
    </w:p>
    <w:sectPr w:rsidR="007A4EDF" w:rsidRPr="00E9484B" w:rsidSect="00CB3B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03C41" w14:textId="77777777" w:rsidR="004C7D0E" w:rsidRPr="00CB3BE4" w:rsidRDefault="004C7D0E">
      <w:r w:rsidRPr="00CB3BE4">
        <w:separator/>
      </w:r>
    </w:p>
  </w:endnote>
  <w:endnote w:type="continuationSeparator" w:id="0">
    <w:p w14:paraId="78269050" w14:textId="77777777" w:rsidR="004C7D0E" w:rsidRPr="00CB3BE4" w:rsidRDefault="004C7D0E">
      <w:r w:rsidRPr="00CB3B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DA5DF" w14:textId="77777777" w:rsidR="00064002" w:rsidRPr="00CB3B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13B65" w14:textId="77777777" w:rsidR="00064002" w:rsidRPr="00CB3B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53DCF" w14:textId="77777777" w:rsidR="00064002" w:rsidRPr="00CB3B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73807" w14:textId="77777777" w:rsidR="004C7D0E" w:rsidRPr="00CB3BE4" w:rsidRDefault="004C7D0E">
      <w:r w:rsidRPr="00CB3BE4">
        <w:separator/>
      </w:r>
    </w:p>
  </w:footnote>
  <w:footnote w:type="continuationSeparator" w:id="0">
    <w:p w14:paraId="25DDB77F" w14:textId="77777777" w:rsidR="004C7D0E" w:rsidRPr="00CB3BE4" w:rsidRDefault="004C7D0E">
      <w:r w:rsidRPr="00CB3BE4">
        <w:continuationSeparator/>
      </w:r>
    </w:p>
  </w:footnote>
  <w:footnote w:id="1">
    <w:p w14:paraId="502946D0" w14:textId="77777777" w:rsidR="00896C52" w:rsidRPr="00CB3BE4" w:rsidRDefault="00896C52" w:rsidP="00CB3BE4">
      <w:pPr>
        <w:pStyle w:val="FootnoteText"/>
        <w:ind w:left="567" w:hanging="567"/>
        <w:rPr>
          <w:sz w:val="24"/>
          <w:lang w:val="ro-RO"/>
        </w:rPr>
      </w:pPr>
      <w:r w:rsidRPr="00CB3BE4">
        <w:rPr>
          <w:rStyle w:val="FootnoteReference"/>
          <w:sz w:val="24"/>
          <w:lang w:val="ro-RO"/>
        </w:rPr>
        <w:footnoteRef/>
      </w:r>
      <w:r w:rsidR="00CB3BE4" w:rsidRPr="00CB3BE4">
        <w:rPr>
          <w:sz w:val="24"/>
          <w:lang w:val="ro-RO"/>
        </w:rPr>
        <w:t xml:space="preserve"> </w:t>
      </w:r>
      <w:r w:rsidR="00CB3BE4" w:rsidRPr="00CB3BE4">
        <w:rPr>
          <w:sz w:val="24"/>
          <w:lang w:val="ro-RO"/>
        </w:rPr>
        <w:tab/>
      </w:r>
      <w:r w:rsidRPr="00CB3BE4">
        <w:rPr>
          <w:sz w:val="24"/>
          <w:lang w:val="ro-RO"/>
        </w:rPr>
        <w:t>JO L 193, 30.7.2018, p. 1.</w:t>
      </w:r>
    </w:p>
  </w:footnote>
  <w:footnote w:id="2">
    <w:p w14:paraId="5A8E73DA" w14:textId="77777777" w:rsidR="00896C52" w:rsidRPr="00CB3BE4" w:rsidRDefault="00896C52" w:rsidP="00CB3BE4">
      <w:pPr>
        <w:pStyle w:val="FootnoteText"/>
        <w:ind w:left="567" w:hanging="567"/>
        <w:rPr>
          <w:sz w:val="24"/>
          <w:lang w:val="ro-RO"/>
        </w:rPr>
      </w:pPr>
      <w:r w:rsidRPr="00CB3BE4">
        <w:rPr>
          <w:rStyle w:val="FootnoteReference"/>
          <w:sz w:val="24"/>
          <w:lang w:val="ro-RO"/>
        </w:rPr>
        <w:footnoteRef/>
      </w:r>
      <w:r w:rsidR="00CB3BE4" w:rsidRPr="00CB3BE4">
        <w:rPr>
          <w:sz w:val="24"/>
          <w:lang w:val="ro-RO"/>
        </w:rPr>
        <w:t xml:space="preserve"> </w:t>
      </w:r>
      <w:r w:rsidR="00CB3BE4" w:rsidRPr="00CB3BE4">
        <w:rPr>
          <w:sz w:val="24"/>
          <w:lang w:val="ro-RO"/>
        </w:rPr>
        <w:tab/>
      </w:r>
      <w:r w:rsidRPr="00CB3BE4">
        <w:rPr>
          <w:sz w:val="24"/>
          <w:lang w:val="ro-RO"/>
        </w:rPr>
        <w:t>JO L 433 I, 22.12.2020, p. 11.</w:t>
      </w:r>
    </w:p>
  </w:footnote>
  <w:footnote w:id="3">
    <w:p w14:paraId="25FF4751" w14:textId="77777777" w:rsidR="00896C52" w:rsidRPr="00CB3BE4" w:rsidRDefault="00896C52" w:rsidP="00CB3BE4">
      <w:pPr>
        <w:pStyle w:val="FootnoteText"/>
        <w:ind w:left="567" w:hanging="567"/>
        <w:rPr>
          <w:sz w:val="24"/>
          <w:lang w:val="ro-RO"/>
        </w:rPr>
      </w:pPr>
      <w:r w:rsidRPr="00CB3BE4">
        <w:rPr>
          <w:rStyle w:val="FootnoteReference"/>
          <w:sz w:val="24"/>
          <w:lang w:val="ro-RO"/>
        </w:rPr>
        <w:footnoteRef/>
      </w:r>
      <w:r w:rsidR="00CB3BE4" w:rsidRPr="00CB3BE4">
        <w:rPr>
          <w:sz w:val="24"/>
          <w:lang w:val="ro-RO"/>
        </w:rPr>
        <w:t xml:space="preserve"> </w:t>
      </w:r>
      <w:r w:rsidR="00CB3BE4" w:rsidRPr="00CB3BE4">
        <w:rPr>
          <w:sz w:val="24"/>
          <w:lang w:val="ro-RO"/>
        </w:rPr>
        <w:tab/>
      </w:r>
      <w:r w:rsidRPr="00CB3BE4">
        <w:rPr>
          <w:sz w:val="24"/>
          <w:lang w:val="ro-RO"/>
        </w:rPr>
        <w:t>JO C 444 I, 22.12.2020, p. 4.</w:t>
      </w:r>
    </w:p>
  </w:footnote>
  <w:footnote w:id="4">
    <w:p w14:paraId="4D5FAF17" w14:textId="77777777" w:rsidR="00896C52" w:rsidRPr="00CB3BE4" w:rsidRDefault="00896C52" w:rsidP="00CB3BE4">
      <w:pPr>
        <w:pStyle w:val="FootnoteText"/>
        <w:ind w:left="567" w:hanging="567"/>
        <w:rPr>
          <w:sz w:val="24"/>
          <w:lang w:val="ro-RO"/>
        </w:rPr>
      </w:pPr>
      <w:r w:rsidRPr="00CB3BE4">
        <w:rPr>
          <w:rStyle w:val="FootnoteReference"/>
          <w:sz w:val="24"/>
          <w:lang w:val="ro-RO"/>
        </w:rPr>
        <w:footnoteRef/>
      </w:r>
      <w:r w:rsidR="00CB3BE4" w:rsidRPr="00CB3BE4">
        <w:rPr>
          <w:sz w:val="24"/>
          <w:lang w:val="ro-RO"/>
        </w:rPr>
        <w:t xml:space="preserve"> </w:t>
      </w:r>
      <w:r w:rsidR="00CB3BE4" w:rsidRPr="00CB3BE4">
        <w:rPr>
          <w:sz w:val="24"/>
          <w:lang w:val="ro-RO"/>
        </w:rPr>
        <w:tab/>
      </w:r>
      <w:r w:rsidRPr="00CB3BE4">
        <w:rPr>
          <w:sz w:val="24"/>
          <w:lang w:val="ro-RO"/>
        </w:rPr>
        <w:t>Texte adoptate, P9_TA(2020)0357.</w:t>
      </w:r>
    </w:p>
  </w:footnote>
  <w:footnote w:id="5">
    <w:p w14:paraId="6ACCD5D3" w14:textId="77777777" w:rsidR="00896C52" w:rsidRPr="00CB3BE4" w:rsidRDefault="00896C52" w:rsidP="00CB3BE4">
      <w:pPr>
        <w:pStyle w:val="FootnoteText"/>
        <w:ind w:left="567" w:hanging="567"/>
        <w:rPr>
          <w:sz w:val="24"/>
          <w:lang w:val="ro-RO"/>
        </w:rPr>
      </w:pPr>
      <w:r w:rsidRPr="00CB3BE4">
        <w:rPr>
          <w:rStyle w:val="FootnoteReference"/>
          <w:sz w:val="24"/>
          <w:lang w:val="ro-RO"/>
        </w:rPr>
        <w:footnoteRef/>
      </w:r>
      <w:r w:rsidR="00CB3BE4" w:rsidRPr="00CB3BE4">
        <w:rPr>
          <w:sz w:val="24"/>
          <w:lang w:val="ro-RO"/>
        </w:rPr>
        <w:t xml:space="preserve"> </w:t>
      </w:r>
      <w:r w:rsidR="00CB3BE4" w:rsidRPr="00CB3BE4">
        <w:rPr>
          <w:sz w:val="24"/>
          <w:lang w:val="ro-RO"/>
        </w:rPr>
        <w:tab/>
      </w:r>
      <w:r w:rsidRPr="00CB3BE4">
        <w:rPr>
          <w:sz w:val="24"/>
          <w:lang w:val="ro-RO"/>
        </w:rPr>
        <w:t>JO L 433 I, 22.12.2020, p. 28.</w:t>
      </w:r>
    </w:p>
  </w:footnote>
  <w:footnote w:id="6">
    <w:p w14:paraId="4F340300" w14:textId="77777777" w:rsidR="00896C52" w:rsidRPr="00CB3BE4" w:rsidRDefault="00896C52" w:rsidP="00CB3BE4">
      <w:pPr>
        <w:pStyle w:val="FootnoteText"/>
        <w:ind w:left="567" w:hanging="567"/>
        <w:rPr>
          <w:sz w:val="24"/>
          <w:lang w:val="ro-RO"/>
        </w:rPr>
      </w:pPr>
      <w:r w:rsidRPr="00CB3BE4">
        <w:rPr>
          <w:rStyle w:val="FootnoteReference"/>
          <w:sz w:val="24"/>
          <w:lang w:val="ro-RO"/>
        </w:rPr>
        <w:footnoteRef/>
      </w:r>
      <w:r w:rsidR="00CB3BE4" w:rsidRPr="00CB3BE4">
        <w:rPr>
          <w:sz w:val="24"/>
          <w:lang w:val="ro-RO"/>
        </w:rPr>
        <w:t xml:space="preserve"> </w:t>
      </w:r>
      <w:r w:rsidR="00CB3BE4" w:rsidRPr="00CB3BE4">
        <w:rPr>
          <w:sz w:val="24"/>
          <w:lang w:val="ro-RO"/>
        </w:rPr>
        <w:tab/>
      </w:r>
      <w:r w:rsidRPr="00CB3BE4">
        <w:rPr>
          <w:sz w:val="24"/>
          <w:lang w:val="ro-RO"/>
        </w:rPr>
        <w:t>Texte adoptate, P9_TA(2023)0335.</w:t>
      </w:r>
    </w:p>
  </w:footnote>
  <w:footnote w:id="7">
    <w:p w14:paraId="196400E0" w14:textId="77777777" w:rsidR="00896C52" w:rsidRPr="00CB3BE4" w:rsidRDefault="00896C52" w:rsidP="00CB3BE4">
      <w:pPr>
        <w:pStyle w:val="Action"/>
        <w:tabs>
          <w:tab w:val="clear" w:pos="357"/>
        </w:tabs>
        <w:spacing w:after="0"/>
        <w:ind w:left="567" w:hanging="567"/>
        <w:outlineLvl w:val="0"/>
      </w:pPr>
      <w:r w:rsidRPr="00CB3BE4">
        <w:rPr>
          <w:rStyle w:val="FootnoteReference"/>
        </w:rPr>
        <w:footnoteRef/>
      </w:r>
      <w:r w:rsidR="00CB3BE4" w:rsidRPr="00CB3BE4">
        <w:t xml:space="preserve"> </w:t>
      </w:r>
      <w:r w:rsidR="00CB3BE4" w:rsidRPr="00CB3BE4">
        <w:tab/>
      </w:r>
      <w:r w:rsidRPr="00CB3BE4">
        <w:t>JO C 177, 17.5.2023, p. 115.</w:t>
      </w:r>
    </w:p>
  </w:footnote>
  <w:footnote w:id="8">
    <w:p w14:paraId="2C825E1A" w14:textId="77777777" w:rsidR="00896C52" w:rsidRPr="00E9484B" w:rsidRDefault="00896C52" w:rsidP="00CB3BE4">
      <w:pPr>
        <w:pStyle w:val="FootnoteText"/>
        <w:ind w:left="567" w:hanging="567"/>
        <w:rPr>
          <w:i/>
          <w:sz w:val="24"/>
          <w:lang w:val="ro-RO"/>
        </w:rPr>
      </w:pPr>
      <w:r w:rsidRPr="00E9484B">
        <w:rPr>
          <w:rStyle w:val="FootnoteReference"/>
          <w:i/>
          <w:sz w:val="24"/>
          <w:lang w:val="ro-RO"/>
        </w:rPr>
        <w:footnoteRef/>
      </w:r>
      <w:r w:rsidR="00CB3BE4" w:rsidRPr="00E9484B">
        <w:rPr>
          <w:rStyle w:val="Emphasis"/>
          <w:i w:val="0"/>
          <w:color w:val="333333"/>
          <w:sz w:val="24"/>
          <w:shd w:val="clear" w:color="auto" w:fill="FFFFFF"/>
          <w:lang w:val="ro-RO"/>
        </w:rPr>
        <w:t xml:space="preserve"> </w:t>
      </w:r>
      <w:r w:rsidR="00CB3BE4" w:rsidRPr="00E9484B">
        <w:rPr>
          <w:rStyle w:val="Emphasis"/>
          <w:i w:val="0"/>
          <w:color w:val="333333"/>
          <w:sz w:val="24"/>
          <w:shd w:val="clear" w:color="auto" w:fill="FFFFFF"/>
          <w:lang w:val="ro-RO"/>
        </w:rPr>
        <w:tab/>
      </w:r>
      <w:r w:rsidRPr="00E9484B">
        <w:rPr>
          <w:rStyle w:val="Emphasis"/>
          <w:i w:val="0"/>
          <w:color w:val="333333"/>
          <w:sz w:val="24"/>
          <w:shd w:val="clear" w:color="auto" w:fill="FFFFFF"/>
          <w:lang w:val="ro-RO"/>
        </w:rPr>
        <w:t xml:space="preserve">JO L, 2024/765, 29.2.2024, ELI: </w:t>
      </w:r>
      <w:hyperlink r:id="rId1" w:history="1">
        <w:r w:rsidR="00765766" w:rsidRPr="00E9484B">
          <w:rPr>
            <w:rStyle w:val="Hyperlink"/>
          </w:rPr>
          <w:t>http://data.europa.eu/eli/reg/2024/765/oj</w:t>
        </w:r>
      </w:hyperlink>
      <w:r w:rsidRPr="00E9484B">
        <w:rPr>
          <w:rStyle w:val="Emphasis"/>
          <w:i w:val="0"/>
          <w:color w:val="333333"/>
          <w:sz w:val="24"/>
          <w:shd w:val="clear" w:color="auto" w:fill="FFFFFF"/>
          <w:lang w:val="ro-RO"/>
        </w:rPr>
        <w:t>.</w:t>
      </w:r>
    </w:p>
  </w:footnote>
  <w:footnote w:id="9">
    <w:p w14:paraId="2060E549" w14:textId="77777777" w:rsidR="00896C52" w:rsidRPr="00CB3BE4" w:rsidRDefault="00896C52" w:rsidP="00CB3BE4">
      <w:pPr>
        <w:pStyle w:val="FootnoteText"/>
        <w:ind w:left="567" w:hanging="567"/>
        <w:rPr>
          <w:sz w:val="24"/>
          <w:lang w:val="ro-RO"/>
        </w:rPr>
      </w:pPr>
      <w:r w:rsidRPr="00CB3BE4">
        <w:rPr>
          <w:rStyle w:val="FootnoteReference"/>
          <w:sz w:val="24"/>
          <w:lang w:val="ro-RO"/>
        </w:rPr>
        <w:footnoteRef/>
      </w:r>
      <w:r w:rsidR="00CB3BE4" w:rsidRPr="00CB3BE4">
        <w:rPr>
          <w:sz w:val="24"/>
          <w:lang w:val="ro-RO"/>
        </w:rPr>
        <w:t xml:space="preserve"> </w:t>
      </w:r>
      <w:r w:rsidR="00CB3BE4" w:rsidRPr="00CB3BE4">
        <w:rPr>
          <w:sz w:val="24"/>
          <w:lang w:val="ro-RO"/>
        </w:rPr>
        <w:tab/>
      </w:r>
      <w:r w:rsidRPr="00CB3BE4">
        <w:rPr>
          <w:sz w:val="24"/>
          <w:lang w:val="ro-RO"/>
        </w:rPr>
        <w:t>COM(2022)0223.</w:t>
      </w:r>
    </w:p>
  </w:footnote>
  <w:footnote w:id="10">
    <w:p w14:paraId="4048F331" w14:textId="77777777" w:rsidR="00896C52" w:rsidRPr="00CB3BE4" w:rsidRDefault="00896C52" w:rsidP="00CB3BE4">
      <w:pPr>
        <w:pStyle w:val="FootnoteText"/>
        <w:ind w:left="567" w:hanging="567"/>
        <w:rPr>
          <w:sz w:val="24"/>
          <w:lang w:val="ro-RO"/>
        </w:rPr>
      </w:pPr>
      <w:r w:rsidRPr="00CB3BE4">
        <w:rPr>
          <w:rStyle w:val="FootnoteReference"/>
          <w:sz w:val="24"/>
          <w:lang w:val="ro-RO"/>
        </w:rPr>
        <w:footnoteRef/>
      </w:r>
      <w:r w:rsidR="00CB3BE4" w:rsidRPr="00CB3BE4">
        <w:rPr>
          <w:sz w:val="24"/>
          <w:lang w:val="ro-RO"/>
        </w:rPr>
        <w:t xml:space="preserve"> </w:t>
      </w:r>
      <w:r w:rsidR="00CB3BE4" w:rsidRPr="00CB3BE4">
        <w:rPr>
          <w:sz w:val="24"/>
          <w:lang w:val="ro-RO"/>
        </w:rPr>
        <w:tab/>
      </w:r>
      <w:r w:rsidRPr="00CB3BE4">
        <w:rPr>
          <w:sz w:val="24"/>
          <w:lang w:val="ro-RO"/>
        </w:rPr>
        <w:t>JO L 287, 29.10.2013, p. 15.</w:t>
      </w:r>
    </w:p>
  </w:footnote>
  <w:footnote w:id="11">
    <w:p w14:paraId="49A67831" w14:textId="77777777" w:rsidR="00896C52" w:rsidRPr="00CB3BE4" w:rsidRDefault="00896C52" w:rsidP="00CB3BE4">
      <w:pPr>
        <w:pStyle w:val="FootnoteText"/>
        <w:ind w:left="567" w:hanging="567"/>
        <w:rPr>
          <w:sz w:val="24"/>
          <w:lang w:val="ro-RO"/>
        </w:rPr>
      </w:pPr>
      <w:r w:rsidRPr="00CB3BE4">
        <w:rPr>
          <w:rStyle w:val="FootnoteReference"/>
          <w:sz w:val="24"/>
          <w:lang w:val="ro-RO"/>
        </w:rPr>
        <w:footnoteRef/>
      </w:r>
      <w:r w:rsidR="00CB3BE4" w:rsidRPr="00CB3BE4">
        <w:rPr>
          <w:sz w:val="24"/>
          <w:lang w:val="ro-RO"/>
        </w:rPr>
        <w:t xml:space="preserve"> </w:t>
      </w:r>
      <w:r w:rsidR="00CB3BE4" w:rsidRPr="00CB3BE4">
        <w:rPr>
          <w:sz w:val="24"/>
          <w:lang w:val="ro-RO"/>
        </w:rPr>
        <w:tab/>
      </w:r>
      <w:r w:rsidRPr="00CB3BE4">
        <w:rPr>
          <w:sz w:val="24"/>
          <w:lang w:val="ro-RO"/>
        </w:rPr>
        <w:t>Texte adoptate, P9_TA(2023)0119.</w:t>
      </w:r>
    </w:p>
  </w:footnote>
  <w:footnote w:id="12">
    <w:p w14:paraId="125DBE07" w14:textId="77777777" w:rsidR="00896C52" w:rsidRPr="00CB3BE4" w:rsidRDefault="00896C52" w:rsidP="00CB3BE4">
      <w:pPr>
        <w:pStyle w:val="FootnoteText"/>
        <w:ind w:left="567" w:hanging="567"/>
        <w:rPr>
          <w:sz w:val="24"/>
          <w:lang w:val="ro-RO"/>
        </w:rPr>
      </w:pPr>
      <w:r w:rsidRPr="00CB3BE4">
        <w:rPr>
          <w:rStyle w:val="FootnoteReference"/>
          <w:sz w:val="24"/>
          <w:lang w:val="ro-RO"/>
        </w:rPr>
        <w:footnoteRef/>
      </w:r>
      <w:r w:rsidR="00CB3BE4" w:rsidRPr="00CB3BE4">
        <w:rPr>
          <w:sz w:val="24"/>
          <w:lang w:val="ro-RO"/>
        </w:rPr>
        <w:t xml:space="preserve"> </w:t>
      </w:r>
      <w:r w:rsidR="00CB3BE4" w:rsidRPr="00CB3BE4">
        <w:rPr>
          <w:sz w:val="24"/>
          <w:lang w:val="ro-RO"/>
        </w:rPr>
        <w:tab/>
      </w:r>
      <w:r w:rsidRPr="00CB3BE4">
        <w:rPr>
          <w:sz w:val="24"/>
          <w:lang w:val="ro-RO"/>
        </w:rPr>
        <w:t>Texte adoptate, P9_TA(2023)0367.</w:t>
      </w:r>
    </w:p>
  </w:footnote>
  <w:footnote w:id="13">
    <w:p w14:paraId="314FDE4C" w14:textId="47E23C8F" w:rsidR="00896C52" w:rsidRPr="00CB3BE4" w:rsidRDefault="00896C52" w:rsidP="00CB3BE4">
      <w:pPr>
        <w:pStyle w:val="FootnoteText"/>
        <w:ind w:left="567" w:hanging="567"/>
        <w:rPr>
          <w:sz w:val="24"/>
          <w:lang w:val="ro-RO"/>
        </w:rPr>
      </w:pPr>
      <w:r w:rsidRPr="00CB3BE4">
        <w:rPr>
          <w:rStyle w:val="FootnoteReference"/>
          <w:sz w:val="24"/>
          <w:lang w:val="ro-RO"/>
        </w:rPr>
        <w:footnoteRef/>
      </w:r>
      <w:r w:rsidR="00CB3BE4" w:rsidRPr="00CB3BE4">
        <w:rPr>
          <w:sz w:val="24"/>
          <w:lang w:val="ro-RO"/>
        </w:rPr>
        <w:t xml:space="preserve"> </w:t>
      </w:r>
      <w:r w:rsidR="00CB3BE4" w:rsidRPr="00CB3BE4">
        <w:rPr>
          <w:sz w:val="24"/>
          <w:lang w:val="ro-RO"/>
        </w:rPr>
        <w:tab/>
      </w:r>
      <w:r w:rsidRPr="00CB3BE4">
        <w:rPr>
          <w:sz w:val="24"/>
          <w:lang w:val="ro-RO"/>
        </w:rPr>
        <w:t>JO L 207, 22.2.2024.</w:t>
      </w:r>
    </w:p>
  </w:footnote>
  <w:footnote w:id="14">
    <w:p w14:paraId="63CD0AA7" w14:textId="25787ED8" w:rsidR="003A1B98" w:rsidRPr="00E9484B" w:rsidRDefault="003A1B98" w:rsidP="003A1B98">
      <w:pPr>
        <w:pStyle w:val="FootnoteText"/>
        <w:ind w:left="567" w:hanging="567"/>
        <w:rPr>
          <w:sz w:val="24"/>
          <w:lang w:val="ro-RO"/>
        </w:rPr>
      </w:pPr>
      <w:r w:rsidRPr="00E9484B">
        <w:rPr>
          <w:rStyle w:val="FootnoteReference"/>
          <w:sz w:val="24"/>
          <w:lang w:val="ro-RO"/>
        </w:rPr>
        <w:footnoteRef/>
      </w:r>
      <w:r w:rsidRPr="00E9484B">
        <w:rPr>
          <w:sz w:val="24"/>
          <w:lang w:val="ro-RO"/>
        </w:rPr>
        <w:t xml:space="preserve"> </w:t>
      </w:r>
      <w:r w:rsidRPr="00E9484B">
        <w:rPr>
          <w:sz w:val="24"/>
          <w:lang w:val="ro-RO"/>
        </w:rPr>
        <w:tab/>
        <w:t>Texte adoptate, P9_TA(2022)0366.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92595" w14:textId="77777777" w:rsidR="00064002" w:rsidRPr="00CB3B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3EDB9" w14:textId="77777777" w:rsidR="00064002" w:rsidRPr="00CB3B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CA114" w14:textId="77777777" w:rsidR="00064002" w:rsidRPr="00CB3B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3" w15:restartNumberingAfterBreak="0">
    <w:nsid w:val="1B59677E"/>
    <w:multiLevelType w:val="hybridMultilevel"/>
    <w:tmpl w:val="4374264C"/>
    <w:lvl w:ilvl="0" w:tplc="D172A236">
      <w:start w:val="1"/>
      <w:numFmt w:val="bullet"/>
      <w:lvlText w:val=""/>
      <w:lvlJc w:val="left"/>
      <w:pPr>
        <w:ind w:left="360" w:hanging="360"/>
      </w:pPr>
      <w:rPr>
        <w:rFonts w:ascii="Symbol" w:hAnsi="Symbol" w:hint="default"/>
      </w:rPr>
    </w:lvl>
    <w:lvl w:ilvl="1" w:tplc="9C0268D6">
      <w:start w:val="1"/>
      <w:numFmt w:val="bullet"/>
      <w:lvlText w:val="o"/>
      <w:lvlJc w:val="left"/>
      <w:pPr>
        <w:ind w:left="1080" w:hanging="360"/>
      </w:pPr>
      <w:rPr>
        <w:rFonts w:ascii="Courier New" w:hAnsi="Courier New" w:cs="Courier New" w:hint="default"/>
      </w:rPr>
    </w:lvl>
    <w:lvl w:ilvl="2" w:tplc="6F2C43DA">
      <w:start w:val="1"/>
      <w:numFmt w:val="bullet"/>
      <w:lvlText w:val=""/>
      <w:lvlJc w:val="left"/>
      <w:pPr>
        <w:ind w:left="1800" w:hanging="360"/>
      </w:pPr>
      <w:rPr>
        <w:rFonts w:ascii="Wingdings" w:hAnsi="Wingdings" w:hint="default"/>
      </w:rPr>
    </w:lvl>
    <w:lvl w:ilvl="3" w:tplc="53FC4BAC">
      <w:start w:val="1"/>
      <w:numFmt w:val="bullet"/>
      <w:lvlText w:val=""/>
      <w:lvlJc w:val="left"/>
      <w:pPr>
        <w:ind w:left="2520" w:hanging="360"/>
      </w:pPr>
      <w:rPr>
        <w:rFonts w:ascii="Symbol" w:hAnsi="Symbol" w:hint="default"/>
      </w:rPr>
    </w:lvl>
    <w:lvl w:ilvl="4" w:tplc="690C506C">
      <w:start w:val="1"/>
      <w:numFmt w:val="bullet"/>
      <w:lvlText w:val="o"/>
      <w:lvlJc w:val="left"/>
      <w:pPr>
        <w:ind w:left="3240" w:hanging="360"/>
      </w:pPr>
      <w:rPr>
        <w:rFonts w:ascii="Courier New" w:hAnsi="Courier New" w:cs="Courier New" w:hint="default"/>
      </w:rPr>
    </w:lvl>
    <w:lvl w:ilvl="5" w:tplc="AED6FE66">
      <w:start w:val="1"/>
      <w:numFmt w:val="bullet"/>
      <w:lvlText w:val=""/>
      <w:lvlJc w:val="left"/>
      <w:pPr>
        <w:ind w:left="3960" w:hanging="360"/>
      </w:pPr>
      <w:rPr>
        <w:rFonts w:ascii="Wingdings" w:hAnsi="Wingdings" w:hint="default"/>
      </w:rPr>
    </w:lvl>
    <w:lvl w:ilvl="6" w:tplc="4CF839EE">
      <w:start w:val="1"/>
      <w:numFmt w:val="bullet"/>
      <w:lvlText w:val=""/>
      <w:lvlJc w:val="left"/>
      <w:pPr>
        <w:ind w:left="4680" w:hanging="360"/>
      </w:pPr>
      <w:rPr>
        <w:rFonts w:ascii="Symbol" w:hAnsi="Symbol" w:hint="default"/>
      </w:rPr>
    </w:lvl>
    <w:lvl w:ilvl="7" w:tplc="C732803E">
      <w:start w:val="1"/>
      <w:numFmt w:val="bullet"/>
      <w:lvlText w:val="o"/>
      <w:lvlJc w:val="left"/>
      <w:pPr>
        <w:ind w:left="5400" w:hanging="360"/>
      </w:pPr>
      <w:rPr>
        <w:rFonts w:ascii="Courier New" w:hAnsi="Courier New" w:cs="Courier New" w:hint="default"/>
      </w:rPr>
    </w:lvl>
    <w:lvl w:ilvl="8" w:tplc="541AEE6E">
      <w:start w:val="1"/>
      <w:numFmt w:val="bullet"/>
      <w:lvlText w:val=""/>
      <w:lvlJc w:val="left"/>
      <w:pPr>
        <w:ind w:left="6120" w:hanging="360"/>
      </w:pPr>
      <w:rPr>
        <w:rFonts w:ascii="Wingdings" w:hAnsi="Wingdings" w:hint="default"/>
      </w:rPr>
    </w:lvl>
  </w:abstractNum>
  <w:abstractNum w:abstractNumId="34" w15:restartNumberingAfterBreak="0">
    <w:nsid w:val="335C0D9D"/>
    <w:multiLevelType w:val="hybridMultilevel"/>
    <w:tmpl w:val="DDB89A0A"/>
    <w:lvl w:ilvl="0" w:tplc="476C703E">
      <w:start w:val="1"/>
      <w:numFmt w:val="bullet"/>
      <w:lvlText w:val="—"/>
      <w:lvlJc w:val="left"/>
      <w:pPr>
        <w:ind w:left="720" w:hanging="360"/>
      </w:pPr>
      <w:rPr>
        <w:rFonts w:ascii="Times New Roman" w:hAnsi="Times New Roman" w:cs="Times New Roman" w:hint="default"/>
      </w:rPr>
    </w:lvl>
    <w:lvl w:ilvl="1" w:tplc="578E598A">
      <w:start w:val="1"/>
      <w:numFmt w:val="bullet"/>
      <w:lvlText w:val="o"/>
      <w:lvlJc w:val="left"/>
      <w:pPr>
        <w:ind w:left="1440" w:hanging="360"/>
      </w:pPr>
      <w:rPr>
        <w:rFonts w:ascii="Courier New" w:hAnsi="Courier New" w:cs="Courier New" w:hint="default"/>
      </w:rPr>
    </w:lvl>
    <w:lvl w:ilvl="2" w:tplc="7DD603E2">
      <w:start w:val="1"/>
      <w:numFmt w:val="bullet"/>
      <w:lvlText w:val=""/>
      <w:lvlJc w:val="left"/>
      <w:pPr>
        <w:ind w:left="2160" w:hanging="360"/>
      </w:pPr>
      <w:rPr>
        <w:rFonts w:ascii="Wingdings" w:hAnsi="Wingdings" w:hint="default"/>
      </w:rPr>
    </w:lvl>
    <w:lvl w:ilvl="3" w:tplc="70A015B2">
      <w:start w:val="1"/>
      <w:numFmt w:val="bullet"/>
      <w:lvlText w:val=""/>
      <w:lvlJc w:val="left"/>
      <w:pPr>
        <w:ind w:left="2880" w:hanging="360"/>
      </w:pPr>
      <w:rPr>
        <w:rFonts w:ascii="Symbol" w:hAnsi="Symbol" w:hint="default"/>
      </w:rPr>
    </w:lvl>
    <w:lvl w:ilvl="4" w:tplc="8AB82AF4">
      <w:start w:val="1"/>
      <w:numFmt w:val="bullet"/>
      <w:lvlText w:val="o"/>
      <w:lvlJc w:val="left"/>
      <w:pPr>
        <w:ind w:left="3600" w:hanging="360"/>
      </w:pPr>
      <w:rPr>
        <w:rFonts w:ascii="Courier New" w:hAnsi="Courier New" w:cs="Courier New" w:hint="default"/>
      </w:rPr>
    </w:lvl>
    <w:lvl w:ilvl="5" w:tplc="1EC4C152">
      <w:start w:val="1"/>
      <w:numFmt w:val="bullet"/>
      <w:lvlText w:val=""/>
      <w:lvlJc w:val="left"/>
      <w:pPr>
        <w:ind w:left="4320" w:hanging="360"/>
      </w:pPr>
      <w:rPr>
        <w:rFonts w:ascii="Wingdings" w:hAnsi="Wingdings" w:hint="default"/>
      </w:rPr>
    </w:lvl>
    <w:lvl w:ilvl="6" w:tplc="0CAA26F8">
      <w:start w:val="1"/>
      <w:numFmt w:val="bullet"/>
      <w:lvlText w:val=""/>
      <w:lvlJc w:val="left"/>
      <w:pPr>
        <w:ind w:left="5040" w:hanging="360"/>
      </w:pPr>
      <w:rPr>
        <w:rFonts w:ascii="Symbol" w:hAnsi="Symbol" w:hint="default"/>
      </w:rPr>
    </w:lvl>
    <w:lvl w:ilvl="7" w:tplc="76261F50">
      <w:start w:val="1"/>
      <w:numFmt w:val="bullet"/>
      <w:lvlText w:val="o"/>
      <w:lvlJc w:val="left"/>
      <w:pPr>
        <w:ind w:left="5760" w:hanging="360"/>
      </w:pPr>
      <w:rPr>
        <w:rFonts w:ascii="Courier New" w:hAnsi="Courier New" w:cs="Courier New" w:hint="default"/>
      </w:rPr>
    </w:lvl>
    <w:lvl w:ilvl="8" w:tplc="AAB0B926">
      <w:start w:val="1"/>
      <w:numFmt w:val="bullet"/>
      <w:lvlText w:val=""/>
      <w:lvlJc w:val="left"/>
      <w:pPr>
        <w:ind w:left="6480" w:hanging="360"/>
      </w:pPr>
      <w:rPr>
        <w:rFonts w:ascii="Wingdings" w:hAnsi="Wingdings" w:hint="default"/>
      </w:r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B15534A"/>
    <w:multiLevelType w:val="hybridMultilevel"/>
    <w:tmpl w:val="680E4B70"/>
    <w:lvl w:ilvl="0" w:tplc="F7F87654">
      <w:start w:val="1"/>
      <w:numFmt w:val="bullet"/>
      <w:lvlText w:val="—"/>
      <w:lvlJc w:val="left"/>
      <w:pPr>
        <w:ind w:left="720" w:hanging="360"/>
      </w:pPr>
      <w:rPr>
        <w:rFonts w:ascii="Times New Roman" w:hAnsi="Times New Roman" w:cs="Times New Roman" w:hint="default"/>
      </w:rPr>
    </w:lvl>
    <w:lvl w:ilvl="1" w:tplc="D99A7AC2">
      <w:start w:val="1"/>
      <w:numFmt w:val="bullet"/>
      <w:lvlText w:val="o"/>
      <w:lvlJc w:val="left"/>
      <w:pPr>
        <w:ind w:left="1440" w:hanging="360"/>
      </w:pPr>
      <w:rPr>
        <w:rFonts w:ascii="Courier New" w:hAnsi="Courier New" w:cs="Courier New" w:hint="default"/>
      </w:rPr>
    </w:lvl>
    <w:lvl w:ilvl="2" w:tplc="E0AE2BEA">
      <w:start w:val="1"/>
      <w:numFmt w:val="bullet"/>
      <w:lvlText w:val=""/>
      <w:lvlJc w:val="left"/>
      <w:pPr>
        <w:ind w:left="2160" w:hanging="360"/>
      </w:pPr>
      <w:rPr>
        <w:rFonts w:ascii="Wingdings" w:hAnsi="Wingdings" w:hint="default"/>
      </w:rPr>
    </w:lvl>
    <w:lvl w:ilvl="3" w:tplc="FE92BB12">
      <w:start w:val="1"/>
      <w:numFmt w:val="bullet"/>
      <w:lvlText w:val=""/>
      <w:lvlJc w:val="left"/>
      <w:pPr>
        <w:ind w:left="2880" w:hanging="360"/>
      </w:pPr>
      <w:rPr>
        <w:rFonts w:ascii="Symbol" w:hAnsi="Symbol" w:hint="default"/>
      </w:rPr>
    </w:lvl>
    <w:lvl w:ilvl="4" w:tplc="1D56CAEA">
      <w:start w:val="1"/>
      <w:numFmt w:val="bullet"/>
      <w:lvlText w:val="o"/>
      <w:lvlJc w:val="left"/>
      <w:pPr>
        <w:ind w:left="3600" w:hanging="360"/>
      </w:pPr>
      <w:rPr>
        <w:rFonts w:ascii="Courier New" w:hAnsi="Courier New" w:cs="Courier New" w:hint="default"/>
      </w:rPr>
    </w:lvl>
    <w:lvl w:ilvl="5" w:tplc="FD2E63EE">
      <w:start w:val="1"/>
      <w:numFmt w:val="bullet"/>
      <w:lvlText w:val=""/>
      <w:lvlJc w:val="left"/>
      <w:pPr>
        <w:ind w:left="4320" w:hanging="360"/>
      </w:pPr>
      <w:rPr>
        <w:rFonts w:ascii="Wingdings" w:hAnsi="Wingdings" w:hint="default"/>
      </w:rPr>
    </w:lvl>
    <w:lvl w:ilvl="6" w:tplc="124090AC">
      <w:start w:val="1"/>
      <w:numFmt w:val="bullet"/>
      <w:lvlText w:val=""/>
      <w:lvlJc w:val="left"/>
      <w:pPr>
        <w:ind w:left="5040" w:hanging="360"/>
      </w:pPr>
      <w:rPr>
        <w:rFonts w:ascii="Symbol" w:hAnsi="Symbol" w:hint="default"/>
      </w:rPr>
    </w:lvl>
    <w:lvl w:ilvl="7" w:tplc="A48ACF0A">
      <w:start w:val="1"/>
      <w:numFmt w:val="bullet"/>
      <w:lvlText w:val="o"/>
      <w:lvlJc w:val="left"/>
      <w:pPr>
        <w:ind w:left="5760" w:hanging="360"/>
      </w:pPr>
      <w:rPr>
        <w:rFonts w:ascii="Courier New" w:hAnsi="Courier New" w:cs="Courier New" w:hint="default"/>
      </w:rPr>
    </w:lvl>
    <w:lvl w:ilvl="8" w:tplc="67AE088E">
      <w:start w:val="1"/>
      <w:numFmt w:val="bullet"/>
      <w:lvlText w:val=""/>
      <w:lvlJc w:val="left"/>
      <w:pPr>
        <w:ind w:left="6480" w:hanging="360"/>
      </w:pPr>
      <w:rPr>
        <w:rFonts w:ascii="Wingdings" w:hAnsi="Wingdings" w:hint="default"/>
      </w:rPr>
    </w:lvl>
  </w:abstractNum>
  <w:abstractNum w:abstractNumId="37" w15:restartNumberingAfterBreak="0">
    <w:nsid w:val="5B5B7323"/>
    <w:multiLevelType w:val="hybridMultilevel"/>
    <w:tmpl w:val="C4EC386E"/>
    <w:lvl w:ilvl="0" w:tplc="A14ECC08">
      <w:start w:val="1"/>
      <w:numFmt w:val="bullet"/>
      <w:lvlText w:val="—"/>
      <w:lvlJc w:val="left"/>
      <w:pPr>
        <w:ind w:left="720" w:hanging="360"/>
      </w:pPr>
      <w:rPr>
        <w:rFonts w:ascii="Times New Roman" w:hAnsi="Times New Roman" w:cs="Times New Roman" w:hint="default"/>
      </w:rPr>
    </w:lvl>
    <w:lvl w:ilvl="1" w:tplc="04DCAA92">
      <w:start w:val="1"/>
      <w:numFmt w:val="bullet"/>
      <w:lvlText w:val="o"/>
      <w:lvlJc w:val="left"/>
      <w:pPr>
        <w:ind w:left="1440" w:hanging="360"/>
      </w:pPr>
      <w:rPr>
        <w:rFonts w:ascii="Courier New" w:hAnsi="Courier New" w:cs="Courier New" w:hint="default"/>
      </w:rPr>
    </w:lvl>
    <w:lvl w:ilvl="2" w:tplc="2FFEB324">
      <w:start w:val="1"/>
      <w:numFmt w:val="bullet"/>
      <w:lvlText w:val=""/>
      <w:lvlJc w:val="left"/>
      <w:pPr>
        <w:ind w:left="2160" w:hanging="360"/>
      </w:pPr>
      <w:rPr>
        <w:rFonts w:ascii="Wingdings" w:hAnsi="Wingdings" w:hint="default"/>
      </w:rPr>
    </w:lvl>
    <w:lvl w:ilvl="3" w:tplc="FBD0E014">
      <w:start w:val="1"/>
      <w:numFmt w:val="bullet"/>
      <w:lvlText w:val=""/>
      <w:lvlJc w:val="left"/>
      <w:pPr>
        <w:ind w:left="2880" w:hanging="360"/>
      </w:pPr>
      <w:rPr>
        <w:rFonts w:ascii="Symbol" w:hAnsi="Symbol" w:hint="default"/>
      </w:rPr>
    </w:lvl>
    <w:lvl w:ilvl="4" w:tplc="1A3E2CA6">
      <w:start w:val="1"/>
      <w:numFmt w:val="bullet"/>
      <w:lvlText w:val="o"/>
      <w:lvlJc w:val="left"/>
      <w:pPr>
        <w:ind w:left="3600" w:hanging="360"/>
      </w:pPr>
      <w:rPr>
        <w:rFonts w:ascii="Courier New" w:hAnsi="Courier New" w:cs="Courier New" w:hint="default"/>
      </w:rPr>
    </w:lvl>
    <w:lvl w:ilvl="5" w:tplc="3EDC0BE8">
      <w:start w:val="1"/>
      <w:numFmt w:val="bullet"/>
      <w:lvlText w:val=""/>
      <w:lvlJc w:val="left"/>
      <w:pPr>
        <w:ind w:left="4320" w:hanging="360"/>
      </w:pPr>
      <w:rPr>
        <w:rFonts w:ascii="Wingdings" w:hAnsi="Wingdings" w:hint="default"/>
      </w:rPr>
    </w:lvl>
    <w:lvl w:ilvl="6" w:tplc="3A66C53C">
      <w:start w:val="1"/>
      <w:numFmt w:val="bullet"/>
      <w:lvlText w:val=""/>
      <w:lvlJc w:val="left"/>
      <w:pPr>
        <w:ind w:left="5040" w:hanging="360"/>
      </w:pPr>
      <w:rPr>
        <w:rFonts w:ascii="Symbol" w:hAnsi="Symbol" w:hint="default"/>
      </w:rPr>
    </w:lvl>
    <w:lvl w:ilvl="7" w:tplc="3E5CA3E0">
      <w:start w:val="1"/>
      <w:numFmt w:val="bullet"/>
      <w:lvlText w:val="o"/>
      <w:lvlJc w:val="left"/>
      <w:pPr>
        <w:ind w:left="5760" w:hanging="360"/>
      </w:pPr>
      <w:rPr>
        <w:rFonts w:ascii="Courier New" w:hAnsi="Courier New" w:cs="Courier New" w:hint="default"/>
      </w:rPr>
    </w:lvl>
    <w:lvl w:ilvl="8" w:tplc="71FEB4FC">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3"/>
  </w:num>
  <w:num w:numId="36">
    <w:abstractNumId w:val="34"/>
  </w:num>
  <w:num w:numId="37">
    <w:abstractNumId w:val="37"/>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RO"/>
    <w:docVar w:name="dvnumam" w:val="0"/>
    <w:docVar w:name="dvpe" w:val="759.633"/>
    <w:docVar w:name="dvrapporteur" w:val="Raportoare: "/>
    <w:docVar w:name="dvtitre" w:val="Rezoluția Parlamentului European din 25 aprilie 2024 referitoare la estimarea bugetului de venituri și cheltuieli al Parlamentului European pentru exercițiul financiar 2025(2023/2221(BUI))"/>
  </w:docVars>
  <w:rsids>
    <w:rsidRoot w:val="004C7D0E"/>
    <w:rsid w:val="00002272"/>
    <w:rsid w:val="00064002"/>
    <w:rsid w:val="000677B9"/>
    <w:rsid w:val="000734C5"/>
    <w:rsid w:val="000831BA"/>
    <w:rsid w:val="000A42CC"/>
    <w:rsid w:val="000E7DD9"/>
    <w:rsid w:val="0010095E"/>
    <w:rsid w:val="00125B37"/>
    <w:rsid w:val="00187494"/>
    <w:rsid w:val="001F32AE"/>
    <w:rsid w:val="002767FF"/>
    <w:rsid w:val="002B18FE"/>
    <w:rsid w:val="002B5493"/>
    <w:rsid w:val="00343214"/>
    <w:rsid w:val="00361C00"/>
    <w:rsid w:val="00395FA1"/>
    <w:rsid w:val="003A1B98"/>
    <w:rsid w:val="003D61F0"/>
    <w:rsid w:val="003E15D4"/>
    <w:rsid w:val="00411CCE"/>
    <w:rsid w:val="0041666E"/>
    <w:rsid w:val="00421060"/>
    <w:rsid w:val="00471C19"/>
    <w:rsid w:val="004867E3"/>
    <w:rsid w:val="00494A28"/>
    <w:rsid w:val="004B394C"/>
    <w:rsid w:val="004C0004"/>
    <w:rsid w:val="004C5D52"/>
    <w:rsid w:val="004C7D0E"/>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5766"/>
    <w:rsid w:val="00786EC0"/>
    <w:rsid w:val="007A4EDF"/>
    <w:rsid w:val="007D1690"/>
    <w:rsid w:val="007E22AD"/>
    <w:rsid w:val="007F69B3"/>
    <w:rsid w:val="00817416"/>
    <w:rsid w:val="00842779"/>
    <w:rsid w:val="00865F67"/>
    <w:rsid w:val="00881A7B"/>
    <w:rsid w:val="008840E5"/>
    <w:rsid w:val="00887B3E"/>
    <w:rsid w:val="00896C5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BE4"/>
    <w:rsid w:val="00CC2357"/>
    <w:rsid w:val="00CF071A"/>
    <w:rsid w:val="00D058B8"/>
    <w:rsid w:val="00D56C11"/>
    <w:rsid w:val="00D834A0"/>
    <w:rsid w:val="00D872DF"/>
    <w:rsid w:val="00D91E21"/>
    <w:rsid w:val="00DA7FCD"/>
    <w:rsid w:val="00E365E1"/>
    <w:rsid w:val="00E820A4"/>
    <w:rsid w:val="00E9484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A412A"/>
  <w15:chartTrackingRefBased/>
  <w15:docId w15:val="{A1957B2F-EB5D-4E6C-BE53-FA224469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96C52"/>
    <w:rPr>
      <w:b/>
      <w:kern w:val="28"/>
      <w:sz w:val="28"/>
      <w:lang w:val="fr-FR" w:eastAsia="fr-FR"/>
    </w:rPr>
  </w:style>
  <w:style w:type="character" w:customStyle="1" w:styleId="Heading2Char">
    <w:name w:val="Heading 2 Char"/>
    <w:basedOn w:val="DefaultParagraphFont"/>
    <w:link w:val="Heading2"/>
    <w:uiPriority w:val="9"/>
    <w:semiHidden/>
    <w:rsid w:val="00896C52"/>
    <w:rPr>
      <w:sz w:val="24"/>
      <w:lang w:val="fr-FR" w:eastAsia="fr-FR"/>
    </w:rPr>
  </w:style>
  <w:style w:type="character" w:customStyle="1" w:styleId="Heading3Char">
    <w:name w:val="Heading 3 Char"/>
    <w:basedOn w:val="DefaultParagraphFont"/>
    <w:link w:val="Heading3"/>
    <w:uiPriority w:val="9"/>
    <w:semiHidden/>
    <w:rsid w:val="00896C52"/>
    <w:rPr>
      <w:rFonts w:ascii="Arial" w:hAnsi="Arial"/>
      <w:sz w:val="24"/>
      <w:lang w:val="fr-FR" w:eastAsia="fr-FR"/>
    </w:rPr>
  </w:style>
  <w:style w:type="character" w:customStyle="1" w:styleId="Heading4Char">
    <w:name w:val="Heading 4 Char"/>
    <w:basedOn w:val="DefaultParagraphFont"/>
    <w:link w:val="Heading4"/>
    <w:uiPriority w:val="9"/>
    <w:semiHidden/>
    <w:rsid w:val="00896C52"/>
    <w:rPr>
      <w:sz w:val="24"/>
      <w:lang w:val="en-US" w:eastAsia="fr-FR"/>
    </w:rPr>
  </w:style>
  <w:style w:type="character" w:customStyle="1" w:styleId="Heading5Char">
    <w:name w:val="Heading 5 Char"/>
    <w:basedOn w:val="DefaultParagraphFont"/>
    <w:link w:val="Heading5"/>
    <w:uiPriority w:val="9"/>
    <w:semiHidden/>
    <w:rsid w:val="00896C52"/>
    <w:rPr>
      <w:sz w:val="24"/>
      <w:lang w:val="en-US" w:eastAsia="fr-FR"/>
    </w:rPr>
  </w:style>
  <w:style w:type="character" w:customStyle="1" w:styleId="Heading6Char">
    <w:name w:val="Heading 6 Char"/>
    <w:basedOn w:val="DefaultParagraphFont"/>
    <w:link w:val="Heading6"/>
    <w:uiPriority w:val="9"/>
    <w:semiHidden/>
    <w:rsid w:val="00896C52"/>
    <w:rPr>
      <w:i/>
      <w:sz w:val="22"/>
      <w:lang w:val="ro-RO"/>
    </w:rPr>
  </w:style>
  <w:style w:type="character" w:customStyle="1" w:styleId="Heading7Char">
    <w:name w:val="Heading 7 Char"/>
    <w:basedOn w:val="DefaultParagraphFont"/>
    <w:link w:val="Heading7"/>
    <w:uiPriority w:val="9"/>
    <w:semiHidden/>
    <w:rsid w:val="00896C52"/>
    <w:rPr>
      <w:rFonts w:ascii="Arial" w:hAnsi="Arial"/>
      <w:sz w:val="24"/>
      <w:lang w:val="ro-RO"/>
    </w:rPr>
  </w:style>
  <w:style w:type="character" w:customStyle="1" w:styleId="Heading8Char">
    <w:name w:val="Heading 8 Char"/>
    <w:basedOn w:val="DefaultParagraphFont"/>
    <w:link w:val="Heading8"/>
    <w:uiPriority w:val="9"/>
    <w:semiHidden/>
    <w:rsid w:val="00896C52"/>
    <w:rPr>
      <w:rFonts w:ascii="Arial" w:hAnsi="Arial"/>
      <w:i/>
      <w:sz w:val="24"/>
      <w:lang w:val="ro-RO"/>
    </w:rPr>
  </w:style>
  <w:style w:type="character" w:customStyle="1" w:styleId="Heading9Char">
    <w:name w:val="Heading 9 Char"/>
    <w:basedOn w:val="DefaultParagraphFont"/>
    <w:link w:val="Heading9"/>
    <w:uiPriority w:val="9"/>
    <w:semiHidden/>
    <w:rsid w:val="00896C52"/>
    <w:rPr>
      <w:rFonts w:ascii="Arial" w:hAnsi="Arial"/>
      <w:b/>
      <w:i/>
      <w:sz w:val="18"/>
      <w:lang w:val="ro-RO"/>
    </w:rPr>
  </w:style>
  <w:style w:type="paragraph" w:styleId="TOCHeading">
    <w:name w:val="TOC Heading"/>
    <w:basedOn w:val="Normal"/>
    <w:next w:val="Normal"/>
    <w:uiPriority w:val="39"/>
    <w:unhideWhenUsed/>
    <w:qFormat/>
    <w:rsid w:val="00896C52"/>
    <w:pPr>
      <w:widowControl/>
      <w:spacing w:after="240"/>
    </w:pPr>
    <w:rPr>
      <w:lang w:val="en-GB"/>
    </w:rPr>
  </w:style>
  <w:style w:type="paragraph" w:customStyle="1" w:styleId="EPFooter2">
    <w:name w:val="EPFooter2"/>
    <w:basedOn w:val="Normal"/>
    <w:next w:val="Normal"/>
    <w:rsid w:val="00896C5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96C52"/>
    <w:pPr>
      <w:spacing w:after="240"/>
    </w:pPr>
  </w:style>
  <w:style w:type="paragraph" w:customStyle="1" w:styleId="TOCPage">
    <w:name w:val="TOC Page"/>
    <w:basedOn w:val="Normal"/>
    <w:next w:val="TOC1"/>
    <w:rsid w:val="00896C52"/>
    <w:pPr>
      <w:keepNext/>
      <w:spacing w:after="240"/>
      <w:jc w:val="right"/>
    </w:pPr>
    <w:rPr>
      <w:rFonts w:ascii="Arial" w:hAnsi="Arial"/>
      <w:b/>
    </w:rPr>
  </w:style>
  <w:style w:type="paragraph" w:customStyle="1" w:styleId="PageHeading">
    <w:name w:val="PageHeading"/>
    <w:basedOn w:val="Normal"/>
    <w:rsid w:val="00896C52"/>
    <w:pPr>
      <w:keepNext/>
      <w:spacing w:after="480"/>
      <w:jc w:val="center"/>
    </w:pPr>
    <w:rPr>
      <w:rFonts w:ascii="Arial" w:hAnsi="Arial" w:cs="Arial"/>
      <w:b/>
    </w:rPr>
  </w:style>
  <w:style w:type="paragraph" w:customStyle="1" w:styleId="NormalBold">
    <w:name w:val="NormalBold"/>
    <w:basedOn w:val="Normal"/>
    <w:rsid w:val="00896C52"/>
    <w:rPr>
      <w:b/>
    </w:rPr>
  </w:style>
  <w:style w:type="paragraph" w:customStyle="1" w:styleId="NormalHanging12a">
    <w:name w:val="NormalHanging12a"/>
    <w:basedOn w:val="Normal"/>
    <w:link w:val="NormalHanging12aChar"/>
    <w:rsid w:val="00896C52"/>
    <w:pPr>
      <w:spacing w:after="240"/>
      <w:ind w:left="567" w:hanging="567"/>
    </w:pPr>
  </w:style>
  <w:style w:type="character" w:customStyle="1" w:styleId="NormalHanging12aChar">
    <w:name w:val="NormalHanging12a Char"/>
    <w:basedOn w:val="DefaultParagraphFont"/>
    <w:link w:val="NormalHanging12a"/>
    <w:locked/>
    <w:rsid w:val="00896C52"/>
    <w:rPr>
      <w:sz w:val="24"/>
      <w:lang w:val="ro-RO"/>
    </w:rPr>
  </w:style>
  <w:style w:type="paragraph" w:customStyle="1" w:styleId="CoverNormal24a">
    <w:name w:val="CoverNormal24a"/>
    <w:basedOn w:val="Normal"/>
    <w:rsid w:val="00896C52"/>
    <w:pPr>
      <w:spacing w:after="480"/>
      <w:ind w:left="1417"/>
    </w:pPr>
  </w:style>
  <w:style w:type="paragraph" w:customStyle="1" w:styleId="CoverNormal">
    <w:name w:val="CoverNormal"/>
    <w:basedOn w:val="Normal"/>
    <w:rsid w:val="00896C52"/>
    <w:pPr>
      <w:ind w:left="1418"/>
    </w:pPr>
  </w:style>
  <w:style w:type="paragraph" w:customStyle="1" w:styleId="CoverReference">
    <w:name w:val="CoverReference"/>
    <w:basedOn w:val="Normal"/>
    <w:rsid w:val="00896C52"/>
    <w:pPr>
      <w:spacing w:before="1080"/>
      <w:jc w:val="right"/>
    </w:pPr>
    <w:rPr>
      <w:rFonts w:ascii="Arial" w:hAnsi="Arial" w:cs="Arial"/>
      <w:b/>
    </w:rPr>
  </w:style>
  <w:style w:type="paragraph" w:customStyle="1" w:styleId="CoverDocType24a">
    <w:name w:val="CoverDocType24a"/>
    <w:basedOn w:val="Normal"/>
    <w:rsid w:val="00896C52"/>
    <w:pPr>
      <w:spacing w:after="480"/>
      <w:ind w:left="1418"/>
    </w:pPr>
    <w:rPr>
      <w:rFonts w:ascii="Arial" w:hAnsi="Arial"/>
      <w:b/>
      <w:sz w:val="48"/>
    </w:rPr>
  </w:style>
  <w:style w:type="paragraph" w:customStyle="1" w:styleId="CoverDate">
    <w:name w:val="CoverDate"/>
    <w:basedOn w:val="Normal"/>
    <w:rsid w:val="00896C52"/>
    <w:pPr>
      <w:spacing w:before="240" w:after="1200"/>
    </w:pPr>
  </w:style>
  <w:style w:type="paragraph" w:customStyle="1" w:styleId="EPBody">
    <w:name w:val="EPBody"/>
    <w:basedOn w:val="Normal"/>
    <w:rsid w:val="00896C52"/>
    <w:pPr>
      <w:jc w:val="center"/>
    </w:pPr>
    <w:rPr>
      <w:rFonts w:ascii="Arial" w:hAnsi="Arial" w:cs="Arial"/>
      <w:i/>
      <w:sz w:val="22"/>
      <w:szCs w:val="22"/>
    </w:rPr>
  </w:style>
  <w:style w:type="paragraph" w:customStyle="1" w:styleId="EPFooter">
    <w:name w:val="EPFooter"/>
    <w:basedOn w:val="Normal"/>
    <w:rsid w:val="00896C52"/>
    <w:pPr>
      <w:tabs>
        <w:tab w:val="center" w:pos="4535"/>
        <w:tab w:val="right" w:pos="9071"/>
      </w:tabs>
      <w:spacing w:before="240" w:after="240"/>
    </w:pPr>
    <w:rPr>
      <w:color w:val="010000"/>
      <w:sz w:val="22"/>
    </w:rPr>
  </w:style>
  <w:style w:type="paragraph" w:styleId="Header">
    <w:name w:val="header"/>
    <w:basedOn w:val="Normal"/>
    <w:link w:val="HeaderChar"/>
    <w:uiPriority w:val="99"/>
    <w:rsid w:val="00896C52"/>
    <w:pPr>
      <w:tabs>
        <w:tab w:val="center" w:pos="4513"/>
        <w:tab w:val="right" w:pos="9026"/>
      </w:tabs>
    </w:pPr>
  </w:style>
  <w:style w:type="character" w:customStyle="1" w:styleId="HeaderChar">
    <w:name w:val="Header Char"/>
    <w:basedOn w:val="DefaultParagraphFont"/>
    <w:link w:val="Header"/>
    <w:uiPriority w:val="99"/>
    <w:rsid w:val="00896C52"/>
    <w:rPr>
      <w:sz w:val="24"/>
      <w:lang w:val="ro-RO"/>
    </w:rPr>
  </w:style>
  <w:style w:type="paragraph" w:customStyle="1" w:styleId="EPComma">
    <w:name w:val="EPComma"/>
    <w:basedOn w:val="Normal"/>
    <w:rsid w:val="00896C52"/>
    <w:pPr>
      <w:spacing w:before="480" w:after="240"/>
    </w:pPr>
  </w:style>
  <w:style w:type="paragraph" w:customStyle="1" w:styleId="FootnoteReference1">
    <w:name w:val="Footnote Reference1"/>
    <w:basedOn w:val="Normal"/>
    <w:link w:val="FootnoteReference"/>
    <w:rsid w:val="00896C52"/>
    <w:pPr>
      <w:widowControl/>
      <w:spacing w:after="160" w:line="240" w:lineRule="exact"/>
    </w:pPr>
    <w:rPr>
      <w:sz w:val="20"/>
      <w:vertAlign w:val="superscript"/>
      <w:lang w:val="en-GB"/>
    </w:rPr>
  </w:style>
  <w:style w:type="paragraph" w:customStyle="1" w:styleId="Action">
    <w:name w:val="Action"/>
    <w:basedOn w:val="Normal"/>
    <w:rsid w:val="00896C52"/>
    <w:pPr>
      <w:tabs>
        <w:tab w:val="left" w:pos="357"/>
      </w:tabs>
      <w:spacing w:after="240"/>
      <w:ind w:left="357" w:hanging="357"/>
    </w:pPr>
  </w:style>
  <w:style w:type="paragraph" w:customStyle="1" w:styleId="action0">
    <w:name w:val="action"/>
    <w:basedOn w:val="Normal"/>
    <w:rsid w:val="00896C52"/>
    <w:pPr>
      <w:widowControl/>
      <w:spacing w:after="240"/>
      <w:ind w:left="357" w:hanging="357"/>
    </w:pPr>
    <w:rPr>
      <w:rFonts w:eastAsiaTheme="minorHAnsi"/>
      <w:szCs w:val="24"/>
    </w:rPr>
  </w:style>
  <w:style w:type="paragraph" w:styleId="Footer">
    <w:name w:val="footer"/>
    <w:basedOn w:val="Normal"/>
    <w:link w:val="FooterChar"/>
    <w:uiPriority w:val="99"/>
    <w:rsid w:val="00896C52"/>
    <w:pPr>
      <w:tabs>
        <w:tab w:val="center" w:pos="4513"/>
        <w:tab w:val="right" w:pos="9026"/>
      </w:tabs>
    </w:pPr>
  </w:style>
  <w:style w:type="character" w:customStyle="1" w:styleId="FooterChar">
    <w:name w:val="Footer Char"/>
    <w:basedOn w:val="DefaultParagraphFont"/>
    <w:link w:val="Footer"/>
    <w:uiPriority w:val="99"/>
    <w:rsid w:val="00896C52"/>
    <w:rPr>
      <w:sz w:val="24"/>
      <w:lang w:val="ro-RO"/>
    </w:rPr>
  </w:style>
  <w:style w:type="character" w:customStyle="1" w:styleId="doceo-font-family-base">
    <w:name w:val="doceo-font-family-base"/>
    <w:basedOn w:val="DefaultParagraphFont"/>
    <w:rsid w:val="00896C52"/>
  </w:style>
  <w:style w:type="paragraph" w:styleId="BalloonText">
    <w:name w:val="Balloon Text"/>
    <w:basedOn w:val="Normal"/>
    <w:link w:val="BalloonTextChar"/>
    <w:uiPriority w:val="99"/>
    <w:unhideWhenUsed/>
    <w:rsid w:val="00896C52"/>
    <w:rPr>
      <w:rFonts w:ascii="Segoe UI" w:hAnsi="Segoe UI" w:cs="Segoe UI"/>
      <w:sz w:val="18"/>
      <w:szCs w:val="18"/>
    </w:rPr>
  </w:style>
  <w:style w:type="character" w:customStyle="1" w:styleId="BalloonTextChar">
    <w:name w:val="Balloon Text Char"/>
    <w:basedOn w:val="DefaultParagraphFont"/>
    <w:link w:val="BalloonText"/>
    <w:uiPriority w:val="99"/>
    <w:rsid w:val="00896C52"/>
    <w:rPr>
      <w:rFonts w:ascii="Segoe UI" w:hAnsi="Segoe UI" w:cs="Segoe UI"/>
      <w:sz w:val="18"/>
      <w:szCs w:val="18"/>
      <w:lang w:val="ro-RO"/>
    </w:rPr>
  </w:style>
  <w:style w:type="paragraph" w:customStyle="1" w:styleId="Default">
    <w:name w:val="Default"/>
    <w:rsid w:val="00896C52"/>
    <w:pPr>
      <w:spacing w:before="160"/>
    </w:pPr>
    <w:rPr>
      <w:rFonts w:ascii="Helvetica Neue" w:eastAsia="Arial Unicode MS" w:hAnsi="Helvetica Neue" w:cs="Arial Unicode MS"/>
      <w:color w:val="000000"/>
      <w:sz w:val="24"/>
      <w:szCs w:val="24"/>
      <w:lang w:val="ro-RO"/>
      <w14:textOutline w14:w="0" w14:cap="flat" w14:cmpd="sng" w14:algn="ctr">
        <w14:noFill/>
        <w14:prstDash w14:val="solid"/>
        <w14:bevel/>
      </w14:textOutline>
    </w:rPr>
  </w:style>
  <w:style w:type="paragraph" w:styleId="EndnoteText">
    <w:name w:val="endnote text"/>
    <w:basedOn w:val="Normal"/>
    <w:link w:val="EndnoteTextChar"/>
    <w:rsid w:val="00896C52"/>
    <w:rPr>
      <w:sz w:val="20"/>
    </w:rPr>
  </w:style>
  <w:style w:type="character" w:customStyle="1" w:styleId="EndnoteTextChar">
    <w:name w:val="Endnote Text Char"/>
    <w:basedOn w:val="DefaultParagraphFont"/>
    <w:link w:val="EndnoteText"/>
    <w:rsid w:val="00896C52"/>
    <w:rPr>
      <w:lang w:val="ro-RO"/>
    </w:rPr>
  </w:style>
  <w:style w:type="character" w:styleId="EndnoteReference">
    <w:name w:val="endnote reference"/>
    <w:basedOn w:val="DefaultParagraphFont"/>
    <w:rsid w:val="00896C52"/>
    <w:rPr>
      <w:vertAlign w:val="superscript"/>
    </w:rPr>
  </w:style>
  <w:style w:type="character" w:styleId="Emphasis">
    <w:name w:val="Emphasis"/>
    <w:basedOn w:val="DefaultParagraphFont"/>
    <w:uiPriority w:val="20"/>
    <w:qFormat/>
    <w:rsid w:val="00896C52"/>
    <w:rPr>
      <w:i/>
      <w:iCs/>
    </w:rPr>
  </w:style>
  <w:style w:type="paragraph" w:customStyle="1" w:styleId="msonormal0">
    <w:name w:val="msonormal"/>
    <w:basedOn w:val="Normal"/>
    <w:rsid w:val="00896C52"/>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896C52"/>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896C52"/>
    <w:rPr>
      <w:rFonts w:eastAsiaTheme="minorHAnsi"/>
      <w:lang w:val="ro-RO" w:eastAsia="en-US"/>
    </w:rPr>
  </w:style>
  <w:style w:type="paragraph" w:styleId="Title">
    <w:name w:val="Title"/>
    <w:basedOn w:val="Normal"/>
    <w:next w:val="Normal"/>
    <w:link w:val="TitleChar"/>
    <w:uiPriority w:val="10"/>
    <w:qFormat/>
    <w:rsid w:val="00896C5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96C52"/>
    <w:rPr>
      <w:rFonts w:ascii="Arial" w:eastAsiaTheme="majorEastAsia" w:hAnsi="Arial" w:cs="Arial"/>
      <w:b/>
      <w:bCs/>
      <w:kern w:val="28"/>
      <w:sz w:val="32"/>
      <w:szCs w:val="32"/>
      <w:lang w:val="ro-RO" w:eastAsia="en-US"/>
    </w:rPr>
  </w:style>
  <w:style w:type="paragraph" w:styleId="Subtitle">
    <w:name w:val="Subtitle"/>
    <w:basedOn w:val="Normal"/>
    <w:next w:val="Normal"/>
    <w:link w:val="SubtitleChar"/>
    <w:uiPriority w:val="11"/>
    <w:qFormat/>
    <w:rsid w:val="00896C5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96C52"/>
    <w:rPr>
      <w:rFonts w:ascii="Arial" w:eastAsiaTheme="majorEastAsia" w:hAnsi="Arial" w:cs="Arial"/>
      <w:sz w:val="24"/>
      <w:szCs w:val="24"/>
      <w:lang w:val="ro-RO" w:eastAsia="en-US"/>
    </w:rPr>
  </w:style>
  <w:style w:type="paragraph" w:styleId="CommentSubject">
    <w:name w:val="annotation subject"/>
    <w:basedOn w:val="CommentText"/>
    <w:next w:val="CommentText"/>
    <w:link w:val="CommentSubjectChar"/>
    <w:uiPriority w:val="99"/>
    <w:unhideWhenUsed/>
    <w:rsid w:val="00896C52"/>
    <w:rPr>
      <w:b/>
      <w:bCs/>
    </w:rPr>
  </w:style>
  <w:style w:type="character" w:customStyle="1" w:styleId="CommentSubjectChar">
    <w:name w:val="Comment Subject Char"/>
    <w:basedOn w:val="CommentTextChar"/>
    <w:link w:val="CommentSubject"/>
    <w:uiPriority w:val="99"/>
    <w:rsid w:val="00896C52"/>
    <w:rPr>
      <w:rFonts w:eastAsiaTheme="minorHAnsi"/>
      <w:b/>
      <w:bCs/>
      <w:lang w:val="ro-RO" w:eastAsia="en-US"/>
    </w:rPr>
  </w:style>
  <w:style w:type="paragraph" w:styleId="NoSpacing">
    <w:name w:val="No Spacing"/>
    <w:basedOn w:val="Normal"/>
    <w:uiPriority w:val="1"/>
    <w:qFormat/>
    <w:rsid w:val="00896C52"/>
    <w:pPr>
      <w:widowControl/>
      <w:jc w:val="both"/>
    </w:pPr>
    <w:rPr>
      <w:rFonts w:eastAsiaTheme="minorHAnsi"/>
      <w:szCs w:val="32"/>
      <w:lang w:eastAsia="en-US"/>
    </w:rPr>
  </w:style>
  <w:style w:type="paragraph" w:styleId="ListParagraph">
    <w:name w:val="List Paragraph"/>
    <w:basedOn w:val="Normal"/>
    <w:uiPriority w:val="34"/>
    <w:qFormat/>
    <w:rsid w:val="00896C52"/>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896C5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96C52"/>
    <w:rPr>
      <w:rFonts w:eastAsiaTheme="minorHAnsi"/>
      <w:i/>
      <w:sz w:val="24"/>
      <w:szCs w:val="24"/>
      <w:lang w:val="ro-RO" w:eastAsia="en-US"/>
    </w:rPr>
  </w:style>
  <w:style w:type="paragraph" w:styleId="IntenseQuote">
    <w:name w:val="Intense Quote"/>
    <w:basedOn w:val="Normal"/>
    <w:next w:val="Normal"/>
    <w:link w:val="IntenseQuoteChar"/>
    <w:uiPriority w:val="30"/>
    <w:qFormat/>
    <w:rsid w:val="00896C5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96C52"/>
    <w:rPr>
      <w:rFonts w:eastAsiaTheme="minorHAnsi"/>
      <w:b/>
      <w:i/>
      <w:sz w:val="24"/>
      <w:szCs w:val="22"/>
      <w:lang w:val="ro-RO" w:eastAsia="en-US"/>
    </w:rPr>
  </w:style>
  <w:style w:type="paragraph" w:customStyle="1" w:styleId="TableTitle">
    <w:name w:val="Table Title"/>
    <w:basedOn w:val="Normal"/>
    <w:uiPriority w:val="99"/>
    <w:rsid w:val="00896C52"/>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896C52"/>
    <w:pPr>
      <w:keepNext/>
      <w:widowControl/>
    </w:pPr>
    <w:rPr>
      <w:rFonts w:eastAsiaTheme="minorEastAsia"/>
      <w:sz w:val="18"/>
      <w:szCs w:val="18"/>
    </w:rPr>
  </w:style>
  <w:style w:type="paragraph" w:customStyle="1" w:styleId="NormalRight">
    <w:name w:val="Normal Right"/>
    <w:basedOn w:val="Normal"/>
    <w:next w:val="Normal"/>
    <w:uiPriority w:val="99"/>
    <w:rsid w:val="00896C52"/>
    <w:pPr>
      <w:widowControl/>
      <w:spacing w:before="120" w:after="120"/>
      <w:jc w:val="right"/>
    </w:pPr>
    <w:rPr>
      <w:rFonts w:eastAsiaTheme="minorEastAsia"/>
      <w:szCs w:val="24"/>
    </w:rPr>
  </w:style>
  <w:style w:type="paragraph" w:customStyle="1" w:styleId="ReusedInfo">
    <w:name w:val="ReusedInfo"/>
    <w:next w:val="Normal"/>
    <w:uiPriority w:val="99"/>
    <w:rsid w:val="00896C52"/>
    <w:pPr>
      <w:shd w:val="clear" w:color="auto" w:fill="C0C0C0"/>
      <w:spacing w:before="60" w:after="60"/>
    </w:pPr>
    <w:rPr>
      <w:rFonts w:eastAsiaTheme="minorEastAsia"/>
      <w:lang w:val="ro-RO"/>
    </w:rPr>
  </w:style>
  <w:style w:type="paragraph" w:customStyle="1" w:styleId="Section">
    <w:name w:val="Section"/>
    <w:basedOn w:val="Normal"/>
    <w:next w:val="Normal"/>
    <w:uiPriority w:val="99"/>
    <w:rsid w:val="00896C52"/>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896C52"/>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896C52"/>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896C52"/>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896C52"/>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896C52"/>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896C52"/>
    <w:pPr>
      <w:keepNext/>
      <w:widowControl/>
      <w:spacing w:before="480" w:after="120"/>
    </w:pPr>
    <w:rPr>
      <w:rFonts w:eastAsiaTheme="minorEastAsia"/>
      <w:b/>
      <w:bCs/>
      <w:i/>
      <w:iCs/>
      <w:szCs w:val="24"/>
    </w:rPr>
  </w:style>
  <w:style w:type="paragraph" w:customStyle="1" w:styleId="Item">
    <w:name w:val="Item"/>
    <w:basedOn w:val="Normal"/>
    <w:next w:val="Normal"/>
    <w:uiPriority w:val="99"/>
    <w:rsid w:val="00896C52"/>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896C52"/>
    <w:pPr>
      <w:keepNext/>
      <w:widowControl/>
      <w:spacing w:before="480" w:after="120"/>
    </w:pPr>
    <w:rPr>
      <w:rFonts w:eastAsiaTheme="minorEastAsia"/>
      <w:sz w:val="20"/>
    </w:rPr>
  </w:style>
  <w:style w:type="paragraph" w:customStyle="1" w:styleId="Annex">
    <w:name w:val="Annex"/>
    <w:basedOn w:val="Normal"/>
    <w:next w:val="Normal"/>
    <w:uiPriority w:val="99"/>
    <w:rsid w:val="00896C52"/>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896C52"/>
    <w:pPr>
      <w:widowControl/>
      <w:spacing w:before="120" w:after="120"/>
    </w:pPr>
    <w:rPr>
      <w:rFonts w:eastAsiaTheme="minorEastAsia"/>
      <w:i/>
      <w:iCs/>
      <w:sz w:val="20"/>
    </w:rPr>
  </w:style>
  <w:style w:type="paragraph" w:customStyle="1" w:styleId="Objective">
    <w:name w:val="Objective"/>
    <w:basedOn w:val="Normal"/>
    <w:next w:val="Normal"/>
    <w:uiPriority w:val="99"/>
    <w:rsid w:val="00896C52"/>
    <w:pPr>
      <w:keepNext/>
      <w:widowControl/>
      <w:spacing w:before="120" w:after="120"/>
    </w:pPr>
    <w:rPr>
      <w:rFonts w:eastAsiaTheme="minorEastAsia"/>
      <w:i/>
      <w:iCs/>
      <w:sz w:val="20"/>
    </w:rPr>
  </w:style>
  <w:style w:type="paragraph" w:customStyle="1" w:styleId="Figures">
    <w:name w:val="Figures"/>
    <w:basedOn w:val="Normal"/>
    <w:next w:val="Normal"/>
    <w:uiPriority w:val="99"/>
    <w:rsid w:val="00896C52"/>
    <w:pPr>
      <w:keepNext/>
      <w:widowControl/>
      <w:spacing w:before="120" w:after="120"/>
    </w:pPr>
    <w:rPr>
      <w:rFonts w:eastAsiaTheme="minorEastAsia"/>
      <w:i/>
      <w:iCs/>
      <w:sz w:val="20"/>
    </w:rPr>
  </w:style>
  <w:style w:type="paragraph" w:customStyle="1" w:styleId="Remarks">
    <w:name w:val="Remarks"/>
    <w:basedOn w:val="Normal"/>
    <w:next w:val="Normal"/>
    <w:uiPriority w:val="99"/>
    <w:rsid w:val="00896C52"/>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896C52"/>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896C52"/>
    <w:pPr>
      <w:keepNext/>
      <w:widowControl/>
      <w:spacing w:before="120" w:after="120"/>
    </w:pPr>
    <w:rPr>
      <w:rFonts w:eastAsiaTheme="minorEastAsia"/>
      <w:i/>
      <w:iCs/>
      <w:sz w:val="20"/>
    </w:rPr>
  </w:style>
  <w:style w:type="paragraph" w:customStyle="1" w:styleId="Reference">
    <w:name w:val="Reference"/>
    <w:basedOn w:val="Normal"/>
    <w:next w:val="Normal"/>
    <w:uiPriority w:val="99"/>
    <w:rsid w:val="00896C52"/>
    <w:pPr>
      <w:keepNext/>
      <w:widowControl/>
      <w:spacing w:before="120" w:after="120"/>
    </w:pPr>
    <w:rPr>
      <w:rFonts w:eastAsiaTheme="minorEastAsia"/>
      <w:i/>
      <w:iCs/>
      <w:sz w:val="20"/>
    </w:rPr>
  </w:style>
  <w:style w:type="character" w:styleId="CommentReference">
    <w:name w:val="annotation reference"/>
    <w:basedOn w:val="DefaultParagraphFont"/>
    <w:uiPriority w:val="99"/>
    <w:unhideWhenUsed/>
    <w:rsid w:val="00896C52"/>
    <w:rPr>
      <w:sz w:val="16"/>
      <w:szCs w:val="16"/>
    </w:rPr>
  </w:style>
  <w:style w:type="character" w:styleId="SubtleEmphasis">
    <w:name w:val="Subtle Emphasis"/>
    <w:uiPriority w:val="19"/>
    <w:qFormat/>
    <w:rsid w:val="00896C52"/>
    <w:rPr>
      <w:i/>
      <w:iCs w:val="0"/>
      <w:color w:val="5A5A5A" w:themeColor="text1" w:themeTint="A5"/>
    </w:rPr>
  </w:style>
  <w:style w:type="character" w:styleId="IntenseEmphasis">
    <w:name w:val="Intense Emphasis"/>
    <w:basedOn w:val="DefaultParagraphFont"/>
    <w:uiPriority w:val="21"/>
    <w:qFormat/>
    <w:rsid w:val="00896C52"/>
    <w:rPr>
      <w:b/>
      <w:bCs w:val="0"/>
      <w:i/>
      <w:iCs w:val="0"/>
      <w:sz w:val="24"/>
      <w:szCs w:val="24"/>
      <w:u w:val="single"/>
    </w:rPr>
  </w:style>
  <w:style w:type="character" w:styleId="SubtleReference">
    <w:name w:val="Subtle Reference"/>
    <w:basedOn w:val="DefaultParagraphFont"/>
    <w:uiPriority w:val="31"/>
    <w:qFormat/>
    <w:rsid w:val="00896C52"/>
    <w:rPr>
      <w:sz w:val="24"/>
      <w:szCs w:val="24"/>
      <w:u w:val="single"/>
    </w:rPr>
  </w:style>
  <w:style w:type="character" w:styleId="IntenseReference">
    <w:name w:val="Intense Reference"/>
    <w:basedOn w:val="DefaultParagraphFont"/>
    <w:uiPriority w:val="32"/>
    <w:qFormat/>
    <w:rsid w:val="00896C52"/>
    <w:rPr>
      <w:b/>
      <w:bCs w:val="0"/>
      <w:sz w:val="24"/>
      <w:u w:val="single"/>
    </w:rPr>
  </w:style>
  <w:style w:type="character" w:styleId="BookTitle">
    <w:name w:val="Book Title"/>
    <w:basedOn w:val="DefaultParagraphFont"/>
    <w:uiPriority w:val="33"/>
    <w:qFormat/>
    <w:rsid w:val="00896C52"/>
    <w:rPr>
      <w:rFonts w:asciiTheme="majorHAnsi" w:eastAsiaTheme="majorEastAsia" w:hAnsiTheme="majorHAnsi" w:cs="Calibri Light" w:hint="default"/>
      <w:b/>
      <w:bCs w:val="0"/>
      <w:i/>
      <w:iCs w:val="0"/>
      <w:sz w:val="24"/>
      <w:szCs w:val="24"/>
    </w:rPr>
  </w:style>
  <w:style w:type="character" w:customStyle="1" w:styleId="tw4winExternal">
    <w:name w:val="tw4winExternal"/>
    <w:basedOn w:val="DefaultParagraphFont"/>
    <w:uiPriority w:val="99"/>
    <w:rsid w:val="00896C52"/>
  </w:style>
  <w:style w:type="character" w:customStyle="1" w:styleId="tw4winInternal">
    <w:name w:val="tw4winInternal"/>
    <w:basedOn w:val="DefaultParagraphFont"/>
    <w:uiPriority w:val="99"/>
    <w:rsid w:val="00896C52"/>
    <w:rPr>
      <w:sz w:val="16"/>
      <w:szCs w:val="16"/>
      <w:u w:val="dash"/>
      <w:shd w:val="clear" w:color="auto" w:fill="FFFF00"/>
    </w:rPr>
  </w:style>
  <w:style w:type="character" w:customStyle="1" w:styleId="ReusedInlineInfo">
    <w:name w:val="ReusedInlineInfo"/>
    <w:basedOn w:val="DefaultParagraphFont"/>
    <w:uiPriority w:val="99"/>
    <w:rsid w:val="00896C52"/>
    <w:rPr>
      <w:sz w:val="16"/>
      <w:szCs w:val="16"/>
      <w:u w:val="dash"/>
      <w:shd w:val="clear" w:color="auto" w:fill="FFFF00"/>
    </w:rPr>
  </w:style>
  <w:style w:type="character" w:customStyle="1" w:styleId="Error">
    <w:name w:val="Error"/>
    <w:basedOn w:val="DefaultParagraphFont"/>
    <w:uiPriority w:val="99"/>
    <w:rsid w:val="00896C52"/>
    <w:rPr>
      <w:shd w:val="clear" w:color="auto" w:fill="FF0000"/>
    </w:rPr>
  </w:style>
  <w:style w:type="paragraph" w:customStyle="1" w:styleId="RollCallVotes">
    <w:name w:val="RollCallVotes"/>
    <w:basedOn w:val="Normal"/>
    <w:rsid w:val="00896C52"/>
    <w:pPr>
      <w:spacing w:before="120" w:after="120"/>
      <w:jc w:val="center"/>
    </w:pPr>
    <w:rPr>
      <w:b/>
      <w:bCs/>
      <w:snapToGrid w:val="0"/>
      <w:sz w:val="16"/>
      <w:lang w:eastAsia="en-US"/>
    </w:rPr>
  </w:style>
  <w:style w:type="paragraph" w:customStyle="1" w:styleId="RollCallTabs">
    <w:name w:val="RollCallTabs"/>
    <w:basedOn w:val="Normal"/>
    <w:qFormat/>
    <w:rsid w:val="00896C52"/>
    <w:pPr>
      <w:tabs>
        <w:tab w:val="center" w:pos="284"/>
        <w:tab w:val="left" w:pos="426"/>
      </w:tabs>
    </w:pPr>
    <w:rPr>
      <w:snapToGrid w:val="0"/>
      <w:lang w:eastAsia="en-US"/>
    </w:rPr>
  </w:style>
  <w:style w:type="paragraph" w:customStyle="1" w:styleId="RollCallSymbols14pt">
    <w:name w:val="RollCallSymbols14pt"/>
    <w:basedOn w:val="Normal"/>
    <w:rsid w:val="00896C52"/>
    <w:pPr>
      <w:spacing w:before="120" w:after="120"/>
      <w:jc w:val="center"/>
    </w:pPr>
    <w:rPr>
      <w:rFonts w:ascii="Arial" w:hAnsi="Arial"/>
      <w:b/>
      <w:bCs/>
      <w:snapToGrid w:val="0"/>
      <w:sz w:val="28"/>
      <w:lang w:eastAsia="en-US"/>
    </w:rPr>
  </w:style>
  <w:style w:type="paragraph" w:customStyle="1" w:styleId="RollCallTable">
    <w:name w:val="RollCallTable"/>
    <w:basedOn w:val="Normal"/>
    <w:rsid w:val="00896C52"/>
    <w:pPr>
      <w:spacing w:before="120" w:after="120"/>
    </w:pPr>
    <w:rPr>
      <w:snapToGrid w:val="0"/>
      <w:sz w:val="16"/>
      <w:lang w:eastAsia="en-US"/>
    </w:rPr>
  </w:style>
  <w:style w:type="paragraph" w:customStyle="1" w:styleId="Normal24a">
    <w:name w:val="Normal24a"/>
    <w:basedOn w:val="Normal"/>
    <w:rsid w:val="00896C52"/>
    <w:pPr>
      <w:spacing w:after="480"/>
    </w:pPr>
  </w:style>
  <w:style w:type="paragraph" w:customStyle="1" w:styleId="NormalBoldCenter">
    <w:name w:val="NormalBoldCenter"/>
    <w:basedOn w:val="Normal"/>
    <w:rsid w:val="00896C52"/>
    <w:pPr>
      <w:jc w:val="center"/>
    </w:pPr>
    <w:rPr>
      <w:b/>
    </w:rPr>
  </w:style>
  <w:style w:type="character" w:styleId="Hyperlink">
    <w:name w:val="Hyperlink"/>
    <w:basedOn w:val="DefaultParagraphFont"/>
    <w:rsid w:val="007657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52812-D85A-4D29-AD17-8A473D89A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3225</Words>
  <Characters>19159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2024-04-25T12:19:00Z</dcterms:created>
  <dcterms:modified xsi:type="dcterms:W3CDTF">2024-04-25T12:19:00Z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A9-0180/2024</vt:lpwstr>
  </property>
  <property fmtid="{D5CDD505-2E9C-101B-9397-08002B2CF9AE}" pid="4" name="&lt;Type&gt;">
    <vt:lpwstr>RR</vt:lpwstr>
  </property>
</Properties>
</file>