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62BB" w:rsidTr="0010095E">
        <w:trPr>
          <w:trHeight w:hRule="exact" w:val="1418"/>
        </w:trPr>
        <w:tc>
          <w:tcPr>
            <w:tcW w:w="6804" w:type="dxa"/>
            <w:shd w:val="clear" w:color="auto" w:fill="auto"/>
            <w:vAlign w:val="center"/>
          </w:tcPr>
          <w:p w:rsidR="00751A4A" w:rsidRPr="000062BB" w:rsidRDefault="001B6ACB" w:rsidP="0010095E">
            <w:pPr>
              <w:pStyle w:val="EPName"/>
            </w:pPr>
            <w:bookmarkStart w:id="0" w:name="_GoBack"/>
            <w:bookmarkEnd w:id="0"/>
            <w:r w:rsidRPr="000062BB">
              <w:t>Európsky parlament</w:t>
            </w:r>
          </w:p>
          <w:p w:rsidR="00751A4A" w:rsidRPr="000062BB" w:rsidRDefault="00817416" w:rsidP="00756632">
            <w:pPr>
              <w:pStyle w:val="EPTerm"/>
              <w:rPr>
                <w:rStyle w:val="HideTWBExt"/>
                <w:noProof w:val="0"/>
                <w:vanish w:val="0"/>
                <w:color w:val="auto"/>
              </w:rPr>
            </w:pPr>
            <w:r w:rsidRPr="000062BB">
              <w:t>2019-2024</w:t>
            </w:r>
          </w:p>
        </w:tc>
        <w:tc>
          <w:tcPr>
            <w:tcW w:w="2268" w:type="dxa"/>
            <w:shd w:val="clear" w:color="auto" w:fill="auto"/>
          </w:tcPr>
          <w:p w:rsidR="00751A4A" w:rsidRPr="000062BB" w:rsidRDefault="00187494" w:rsidP="0010095E">
            <w:pPr>
              <w:pStyle w:val="EPLogo"/>
            </w:pPr>
            <w:r w:rsidRPr="000062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62BB" w:rsidRDefault="00D058B8" w:rsidP="004C5D52">
      <w:pPr>
        <w:pStyle w:val="LineTop"/>
      </w:pPr>
    </w:p>
    <w:p w:rsidR="00680577" w:rsidRPr="000062BB" w:rsidRDefault="001B6ACB" w:rsidP="00680577">
      <w:pPr>
        <w:pStyle w:val="EPBodyTA1"/>
      </w:pPr>
      <w:r w:rsidRPr="000062BB">
        <w:t>PRIJATÉ TEXTY</w:t>
      </w:r>
    </w:p>
    <w:p w:rsidR="00D058B8" w:rsidRPr="000062BB" w:rsidRDefault="00D058B8" w:rsidP="00D058B8">
      <w:pPr>
        <w:pStyle w:val="LineBottom"/>
      </w:pPr>
    </w:p>
    <w:p w:rsidR="001B6ACB" w:rsidRPr="000062BB" w:rsidRDefault="001B6ACB" w:rsidP="001B6ACB">
      <w:pPr>
        <w:pStyle w:val="ATHeading1"/>
      </w:pPr>
      <w:bookmarkStart w:id="1" w:name="TANumber"/>
      <w:r w:rsidRPr="000062BB">
        <w:t>P9_TA(2024)0</w:t>
      </w:r>
      <w:r w:rsidR="0082671D" w:rsidRPr="000062BB">
        <w:t>373</w:t>
      </w:r>
      <w:bookmarkEnd w:id="1"/>
    </w:p>
    <w:p w:rsidR="001B6ACB" w:rsidRPr="000062BB" w:rsidRDefault="001B6ACB" w:rsidP="001B6ACB">
      <w:pPr>
        <w:pStyle w:val="ATHeading2"/>
      </w:pPr>
      <w:bookmarkStart w:id="2" w:name="title"/>
      <w:r w:rsidRPr="000062BB">
        <w:t>Odhady príjmov a výdavkov na rozpočtový rok 2025 – Oddiel I – Európsky parlament</w:t>
      </w:r>
      <w:bookmarkEnd w:id="2"/>
    </w:p>
    <w:p w:rsidR="001B6ACB" w:rsidRPr="000062BB" w:rsidRDefault="001B6ACB" w:rsidP="001B6ACB">
      <w:pPr>
        <w:rPr>
          <w:i/>
          <w:vanish/>
        </w:rPr>
      </w:pPr>
      <w:r w:rsidRPr="000062BB">
        <w:rPr>
          <w:i/>
        </w:rPr>
        <w:fldChar w:fldCharType="begin"/>
      </w:r>
      <w:r w:rsidRPr="000062BB">
        <w:rPr>
          <w:i/>
        </w:rPr>
        <w:instrText xml:space="preserve"> TC"(</w:instrText>
      </w:r>
      <w:bookmarkStart w:id="3" w:name="DocNumber"/>
      <w:r w:rsidRPr="000062BB">
        <w:rPr>
          <w:i/>
        </w:rPr>
        <w:instrText>A9-0180/2024</w:instrText>
      </w:r>
      <w:bookmarkEnd w:id="3"/>
      <w:r w:rsidRPr="000062BB">
        <w:rPr>
          <w:i/>
        </w:rPr>
        <w:instrText xml:space="preserve"> - Spravodajkyňa: Anna</w:instrText>
      </w:r>
      <w:r w:rsidRPr="000062BB">
        <w:rPr>
          <w:i/>
        </w:rPr>
        <w:noBreakHyphen/>
        <w:instrText xml:space="preserve">Michelle Asimakopoulou)"\l3 \n&gt; \* MERGEFORMAT </w:instrText>
      </w:r>
      <w:r w:rsidRPr="000062BB">
        <w:rPr>
          <w:i/>
        </w:rPr>
        <w:fldChar w:fldCharType="end"/>
      </w:r>
    </w:p>
    <w:p w:rsidR="001B6ACB" w:rsidRPr="000062BB" w:rsidRDefault="001B6ACB" w:rsidP="001B6ACB">
      <w:pPr>
        <w:rPr>
          <w:vanish/>
        </w:rPr>
      </w:pPr>
      <w:bookmarkStart w:id="4" w:name="Commission"/>
      <w:r w:rsidRPr="000062BB">
        <w:rPr>
          <w:vanish/>
        </w:rPr>
        <w:t>Výbor pre rozpočet</w:t>
      </w:r>
      <w:bookmarkEnd w:id="4"/>
    </w:p>
    <w:p w:rsidR="001B6ACB" w:rsidRPr="000062BB" w:rsidRDefault="001B6ACB" w:rsidP="001B6ACB">
      <w:pPr>
        <w:rPr>
          <w:vanish/>
        </w:rPr>
      </w:pPr>
      <w:bookmarkStart w:id="5" w:name="PE"/>
      <w:r w:rsidRPr="000062BB">
        <w:rPr>
          <w:vanish/>
        </w:rPr>
        <w:t>PE759.633</w:t>
      </w:r>
      <w:bookmarkEnd w:id="5"/>
    </w:p>
    <w:p w:rsidR="001B6ACB" w:rsidRPr="000062BB" w:rsidRDefault="001B6ACB" w:rsidP="001B6ACB">
      <w:pPr>
        <w:pStyle w:val="ATHeading3"/>
      </w:pPr>
      <w:bookmarkStart w:id="6" w:name="Sujet"/>
      <w:r w:rsidRPr="000062BB">
        <w:t>Uznesenie Európskeho parlamentu z 25. apríla 2024 o odhade príjmov a výdavkov Európskeho parlamentu na rozpočtový rok 2025</w:t>
      </w:r>
      <w:bookmarkEnd w:id="6"/>
      <w:r w:rsidRPr="000062BB">
        <w:t xml:space="preserve"> </w:t>
      </w:r>
      <w:bookmarkStart w:id="7" w:name="References"/>
      <w:r w:rsidRPr="000062BB">
        <w:t>(2023/2221(BUI))</w:t>
      </w:r>
      <w:bookmarkEnd w:id="7"/>
    </w:p>
    <w:p w:rsidR="0074130F" w:rsidRPr="000062BB" w:rsidRDefault="0074130F" w:rsidP="0074130F">
      <w:pPr>
        <w:pStyle w:val="EPComma"/>
        <w:rPr>
          <w:szCs w:val="24"/>
        </w:rPr>
      </w:pPr>
      <w:bookmarkStart w:id="8" w:name="TextBodyBegin"/>
      <w:bookmarkEnd w:id="8"/>
      <w:r w:rsidRPr="000062BB">
        <w:rPr>
          <w:i/>
        </w:rPr>
        <w:t>Európsky parlament</w:t>
      </w:r>
      <w:r w:rsidRPr="000062BB">
        <w:t>,</w:t>
      </w:r>
    </w:p>
    <w:p w:rsidR="0074130F" w:rsidRPr="000062BB" w:rsidRDefault="0074130F" w:rsidP="0074130F">
      <w:pPr>
        <w:pStyle w:val="NormalHanging12a"/>
        <w:rPr>
          <w:szCs w:val="24"/>
        </w:rPr>
      </w:pPr>
      <w:r w:rsidRPr="000062BB">
        <w:t>–</w:t>
      </w:r>
      <w:r w:rsidRPr="000062BB">
        <w:tab/>
        <w:t>so zreteľom na článok 314 Zmluvy o fungovaní Európskej únie,</w:t>
      </w:r>
    </w:p>
    <w:p w:rsidR="0074130F" w:rsidRPr="000062BB" w:rsidRDefault="0074130F" w:rsidP="0074130F">
      <w:pPr>
        <w:pStyle w:val="NormalHanging12a"/>
        <w:rPr>
          <w:szCs w:val="24"/>
        </w:rPr>
      </w:pPr>
      <w:r w:rsidRPr="000062BB">
        <w:t>–</w:t>
      </w:r>
      <w:r w:rsidRPr="000062BB">
        <w:tab/>
        <w:t xml:space="preserve">so zreteľom na nariadenie Európskeho parlamentu a Rady (EÚ, </w:t>
      </w:r>
      <w:proofErr w:type="spellStart"/>
      <w:r w:rsidRPr="000062BB">
        <w:t>Euratom</w:t>
      </w:r>
      <w:proofErr w:type="spellEnd"/>
      <w:r w:rsidRPr="000062BB">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062BB">
        <w:t>Euratom</w:t>
      </w:r>
      <w:proofErr w:type="spellEnd"/>
      <w:r w:rsidRPr="000062BB">
        <w:t>) č. 966/2012</w:t>
      </w:r>
      <w:r w:rsidRPr="000062BB">
        <w:rPr>
          <w:rStyle w:val="FootnoteReference"/>
          <w:szCs w:val="24"/>
        </w:rPr>
        <w:footnoteReference w:id="1"/>
      </w:r>
      <w:r w:rsidRPr="000062BB">
        <w:t>,</w:t>
      </w:r>
    </w:p>
    <w:p w:rsidR="0074130F" w:rsidRPr="000062BB" w:rsidRDefault="0074130F" w:rsidP="0074130F">
      <w:pPr>
        <w:pStyle w:val="NormalHanging12a"/>
        <w:rPr>
          <w:szCs w:val="24"/>
        </w:rPr>
      </w:pPr>
      <w:r w:rsidRPr="000062BB">
        <w:t>–</w:t>
      </w:r>
      <w:r w:rsidRPr="000062BB">
        <w:tab/>
        <w:t xml:space="preserve">so zreteľom na nariadenie Rady (EÚ, </w:t>
      </w:r>
      <w:proofErr w:type="spellStart"/>
      <w:r w:rsidRPr="000062BB">
        <w:t>Euratom</w:t>
      </w:r>
      <w:proofErr w:type="spellEnd"/>
      <w:r w:rsidRPr="000062BB">
        <w:t>) 2020/2093 zo 17. decembra 2020, ktorým sa stanovuje viacročný finančný rámec na roky 2021 až 2027</w:t>
      </w:r>
      <w:r w:rsidRPr="000062BB">
        <w:rPr>
          <w:szCs w:val="24"/>
          <w:vertAlign w:val="superscript"/>
        </w:rPr>
        <w:footnoteReference w:id="2"/>
      </w:r>
      <w:r w:rsidRPr="000062BB">
        <w:t>, a na spoločné vyhlásenia, na ktorých sa v tejto súvislosti dohodli Európsky parlament, Rada a Komisia</w:t>
      </w:r>
      <w:r w:rsidRPr="000062BB">
        <w:rPr>
          <w:szCs w:val="24"/>
          <w:vertAlign w:val="superscript"/>
        </w:rPr>
        <w:footnoteReference w:id="3"/>
      </w:r>
      <w:r w:rsidRPr="000062BB">
        <w:t>, ako aj na súvisiace jednostranné vyhlásenia</w:t>
      </w:r>
      <w:r w:rsidRPr="000062BB">
        <w:rPr>
          <w:szCs w:val="24"/>
          <w:vertAlign w:val="superscript"/>
        </w:rPr>
        <w:footnoteReference w:id="4"/>
      </w:r>
      <w:r w:rsidRPr="000062BB">
        <w:t xml:space="preserve">, </w:t>
      </w:r>
    </w:p>
    <w:p w:rsidR="0074130F" w:rsidRPr="000062BB" w:rsidRDefault="0074130F" w:rsidP="0074130F">
      <w:pPr>
        <w:pStyle w:val="NormalHanging12a"/>
        <w:rPr>
          <w:szCs w:val="24"/>
        </w:rPr>
      </w:pPr>
      <w:r w:rsidRPr="000062BB">
        <w:t>–</w:t>
      </w:r>
      <w:r w:rsidRPr="000062BB">
        <w:tab/>
        <w:t xml:space="preserve">so zreteľom na </w:t>
      </w:r>
      <w:proofErr w:type="spellStart"/>
      <w:r w:rsidRPr="000062BB">
        <w:t>Medziinštitucionálnu</w:t>
      </w:r>
      <w:proofErr w:type="spellEnd"/>
      <w:r w:rsidRPr="000062BB">
        <w:t xml:space="preserve"> dohodu zo 16. decembra 2020 medzi Európskym parlamentom, Radou Európskej únie a Európskou komisiou o rozpočtovej disciplíne, spolupráci v rozpočtových záležitostiach a správnom finančnom riadení, ako aj o nových vlastných zdrojoch vrátane plánu na zavedenie nových vlastných zdrojov</w:t>
      </w:r>
      <w:r w:rsidRPr="000062BB">
        <w:rPr>
          <w:rStyle w:val="FootnoteReference"/>
          <w:szCs w:val="24"/>
        </w:rPr>
        <w:footnoteReference w:id="5"/>
      </w:r>
      <w:r w:rsidRPr="000062BB">
        <w:t>,</w:t>
      </w:r>
    </w:p>
    <w:p w:rsidR="0074130F" w:rsidRPr="000062BB" w:rsidRDefault="0074130F" w:rsidP="0074130F">
      <w:pPr>
        <w:pStyle w:val="NormalHanging12a"/>
        <w:rPr>
          <w:szCs w:val="24"/>
        </w:rPr>
      </w:pPr>
      <w:r w:rsidRPr="000062BB">
        <w:t>–</w:t>
      </w:r>
      <w:r w:rsidRPr="000062BB">
        <w:tab/>
        <w:t xml:space="preserve">so zreteľom na predbežnú správu </w:t>
      </w:r>
      <w:r w:rsidR="008D6ABB" w:rsidRPr="000062BB">
        <w:t xml:space="preserve">z 3. októbra 2023 </w:t>
      </w:r>
      <w:r w:rsidRPr="000062BB">
        <w:t xml:space="preserve">o návrhu revízie viacročného </w:t>
      </w:r>
      <w:r w:rsidRPr="000062BB">
        <w:lastRenderedPageBreak/>
        <w:t>finančného rámca na roky 2021 – 2027 v polovici trvania</w:t>
      </w:r>
      <w:r w:rsidRPr="000062BB">
        <w:rPr>
          <w:szCs w:val="24"/>
          <w:vertAlign w:val="superscript"/>
        </w:rPr>
        <w:footnoteReference w:id="6"/>
      </w:r>
      <w:r w:rsidRPr="000062BB">
        <w:t>,</w:t>
      </w:r>
    </w:p>
    <w:p w:rsidR="0074130F" w:rsidRPr="000062BB" w:rsidRDefault="0074130F" w:rsidP="0074130F">
      <w:pPr>
        <w:pStyle w:val="NormalHanging12a"/>
        <w:rPr>
          <w:szCs w:val="24"/>
        </w:rPr>
      </w:pPr>
      <w:r w:rsidRPr="000062BB">
        <w:t>–</w:t>
      </w:r>
      <w:r w:rsidRPr="000062BB">
        <w:tab/>
        <w:t>so zreteľom na svoje uznesenie z 15. decembra 2022 o zvýšení viacročného finančného rámca na roky 2021 – 2027: odolný rozpočet EÚ pripravený na nové výzvy</w:t>
      </w:r>
      <w:r w:rsidRPr="000062BB">
        <w:rPr>
          <w:szCs w:val="24"/>
          <w:vertAlign w:val="superscript"/>
        </w:rPr>
        <w:footnoteReference w:id="7"/>
      </w:r>
      <w:r w:rsidRPr="000062BB">
        <w:t xml:space="preserve">, </w:t>
      </w:r>
    </w:p>
    <w:p w:rsidR="0074130F" w:rsidRPr="000062BB" w:rsidRDefault="0074130F" w:rsidP="0074130F">
      <w:pPr>
        <w:pStyle w:val="NormalHanging12a"/>
        <w:rPr>
          <w:szCs w:val="24"/>
        </w:rPr>
      </w:pPr>
      <w:r w:rsidRPr="000062BB">
        <w:t>–</w:t>
      </w:r>
      <w:r w:rsidRPr="000062BB">
        <w:tab/>
        <w:t xml:space="preserve">so zreteľom na nariadenie Rady (EÚ, </w:t>
      </w:r>
      <w:proofErr w:type="spellStart"/>
      <w:r w:rsidRPr="000062BB">
        <w:t>Euratom</w:t>
      </w:r>
      <w:proofErr w:type="spellEnd"/>
      <w:r w:rsidRPr="000062BB">
        <w:t xml:space="preserve">) 2024/765 </w:t>
      </w:r>
      <w:r w:rsidRPr="000062BB">
        <w:rPr>
          <w:shd w:val="clear" w:color="auto" w:fill="FFFFFF"/>
        </w:rPr>
        <w:t xml:space="preserve">z 29. februára 2024, ktorým sa mení nariadenie (EÚ, </w:t>
      </w:r>
      <w:proofErr w:type="spellStart"/>
      <w:r w:rsidRPr="000062BB">
        <w:rPr>
          <w:shd w:val="clear" w:color="auto" w:fill="FFFFFF"/>
        </w:rPr>
        <w:t>Euratom</w:t>
      </w:r>
      <w:proofErr w:type="spellEnd"/>
      <w:r w:rsidRPr="000062BB">
        <w:rPr>
          <w:shd w:val="clear" w:color="auto" w:fill="FFFFFF"/>
        </w:rPr>
        <w:t>) 2020/2093</w:t>
      </w:r>
      <w:r w:rsidRPr="000062BB">
        <w:t>, ktorým sa stanovuje viacročný finančný rámec na roky 2021 až 2027</w:t>
      </w:r>
      <w:r w:rsidRPr="000062BB">
        <w:rPr>
          <w:rStyle w:val="FootnoteReference"/>
          <w:szCs w:val="24"/>
        </w:rPr>
        <w:footnoteReference w:id="8"/>
      </w:r>
      <w:r w:rsidRPr="000062BB">
        <w:t xml:space="preserve"> (revízia VFR),</w:t>
      </w:r>
    </w:p>
    <w:p w:rsidR="0074130F" w:rsidRPr="000062BB" w:rsidRDefault="0074130F" w:rsidP="0074130F">
      <w:pPr>
        <w:pStyle w:val="NormalHanging12a"/>
        <w:rPr>
          <w:szCs w:val="24"/>
        </w:rPr>
      </w:pPr>
      <w:r w:rsidRPr="000062BB">
        <w:t>–</w:t>
      </w:r>
      <w:r w:rsidRPr="000062BB">
        <w:tab/>
        <w:t>so zreteľom na návrh Komisie zo 16. mája 2022 na nariadenie Európskeho parlamentu a Rady o rozpočtových pravidlách, ktoré sa vzťahujú na všeobecný rozpočet Únie</w:t>
      </w:r>
      <w:r w:rsidRPr="000062BB">
        <w:rPr>
          <w:rStyle w:val="FootnoteReference"/>
          <w:szCs w:val="24"/>
        </w:rPr>
        <w:footnoteReference w:id="9"/>
      </w:r>
      <w:r w:rsidRPr="000062BB">
        <w:t>,</w:t>
      </w:r>
    </w:p>
    <w:p w:rsidR="0074130F" w:rsidRPr="000062BB" w:rsidRDefault="0074130F" w:rsidP="0074130F">
      <w:pPr>
        <w:pStyle w:val="NormalHanging12a"/>
        <w:rPr>
          <w:szCs w:val="24"/>
        </w:rPr>
      </w:pPr>
      <w:r w:rsidRPr="000062BB">
        <w:t>–</w:t>
      </w:r>
      <w:r w:rsidRPr="000062BB">
        <w:tab/>
        <w:t xml:space="preserve">so zreteľom na nariadenie Európskeho parlamentu a Rady (EÚ, </w:t>
      </w:r>
      <w:proofErr w:type="spellStart"/>
      <w:r w:rsidRPr="000062BB">
        <w:t>Euratom</w:t>
      </w:r>
      <w:proofErr w:type="spellEnd"/>
      <w:r w:rsidRPr="000062BB">
        <w:t>) č. 1023/2013 z 22. októbra 2013, ktorým sa mení Služobný poriadok úradníkov Európskej únie a Podmienky zamestnávania ostatných zamestnancov Európskej únie</w:t>
      </w:r>
      <w:r w:rsidRPr="000062BB">
        <w:rPr>
          <w:rStyle w:val="FootnoteReference"/>
          <w:szCs w:val="24"/>
        </w:rPr>
        <w:footnoteReference w:id="10"/>
      </w:r>
      <w:r w:rsidR="00E21FEA" w:rsidRPr="000062BB">
        <w:t>,</w:t>
      </w:r>
    </w:p>
    <w:p w:rsidR="0074130F" w:rsidRPr="000062BB" w:rsidRDefault="0074130F" w:rsidP="0074130F">
      <w:pPr>
        <w:pStyle w:val="NormalHanging12a"/>
        <w:rPr>
          <w:szCs w:val="24"/>
        </w:rPr>
      </w:pPr>
      <w:r w:rsidRPr="000062BB">
        <w:t>–</w:t>
      </w:r>
      <w:r w:rsidRPr="000062BB">
        <w:tab/>
        <w:t>so zreteľom na svoje uznesenie z 20. apríla 2023 o odhade príjmov a výdavkov Európskeho parlamentu na rozpočtový rok 2024</w:t>
      </w:r>
      <w:r w:rsidRPr="000062BB">
        <w:rPr>
          <w:rStyle w:val="FootnoteReference"/>
          <w:szCs w:val="24"/>
        </w:rPr>
        <w:footnoteReference w:id="11"/>
      </w:r>
      <w:r w:rsidRPr="000062BB">
        <w:t xml:space="preserve">, </w:t>
      </w:r>
    </w:p>
    <w:p w:rsidR="0074130F" w:rsidRPr="000062BB" w:rsidRDefault="0074130F" w:rsidP="0074130F">
      <w:pPr>
        <w:pStyle w:val="NormalHanging12a"/>
        <w:rPr>
          <w:szCs w:val="24"/>
        </w:rPr>
      </w:pPr>
      <w:r w:rsidRPr="000062BB">
        <w:t>–</w:t>
      </w:r>
      <w:r w:rsidRPr="000062BB">
        <w:tab/>
        <w:t>so zreteľom na svoje uznesenie z 18. októbra 2023 o pozícii Rady k návrhu všeobecného rozpočtu Európskej únie na rozpočtový rok 2024</w:t>
      </w:r>
      <w:r w:rsidRPr="000062BB">
        <w:rPr>
          <w:rStyle w:val="FootnoteReference"/>
          <w:szCs w:val="24"/>
        </w:rPr>
        <w:footnoteReference w:id="12"/>
      </w:r>
      <w:r w:rsidRPr="000062BB">
        <w:t xml:space="preserve">, </w:t>
      </w:r>
    </w:p>
    <w:p w:rsidR="0074130F" w:rsidRPr="000062BB" w:rsidRDefault="0074130F" w:rsidP="0074130F">
      <w:pPr>
        <w:pStyle w:val="NormalHanging12a"/>
        <w:rPr>
          <w:szCs w:val="24"/>
        </w:rPr>
      </w:pPr>
      <w:r w:rsidRPr="000062BB">
        <w:t>–</w:t>
      </w:r>
      <w:r w:rsidRPr="000062BB">
        <w:tab/>
        <w:t>so zreteľom na všeobecný rozpočet Európskej únie na rozpočtový rok 2024</w:t>
      </w:r>
      <w:r w:rsidRPr="000062BB">
        <w:rPr>
          <w:rStyle w:val="FootnoteReference"/>
          <w:szCs w:val="24"/>
        </w:rPr>
        <w:footnoteReference w:id="13"/>
      </w:r>
      <w:r w:rsidRPr="000062BB">
        <w:t xml:space="preserve"> a na spoločné vyhlásenia, na ktorých sa dohodol Európsky parlament, Rada a Komisia a ktoré sú k nemu pripojené, </w:t>
      </w:r>
    </w:p>
    <w:p w:rsidR="0074130F" w:rsidRPr="000062BB" w:rsidRDefault="0074130F" w:rsidP="0074130F">
      <w:pPr>
        <w:pStyle w:val="NormalHanging12a"/>
        <w:rPr>
          <w:szCs w:val="24"/>
        </w:rPr>
      </w:pPr>
      <w:r w:rsidRPr="000062BB">
        <w:t>–</w:t>
      </w:r>
      <w:r w:rsidRPr="000062BB">
        <w:tab/>
        <w:t>so zreteľom na správu generálneho tajomníka v súvislosti s vypracovaním predbežného návrhu odhadu rozpočtu Európskeho parlamentu na rozpočtový rok 2025, ktorú odovzdal Predsedníctvu,</w:t>
      </w:r>
    </w:p>
    <w:p w:rsidR="0074130F" w:rsidRPr="000062BB" w:rsidRDefault="0074130F" w:rsidP="0074130F">
      <w:pPr>
        <w:pStyle w:val="NormalHanging12a"/>
        <w:rPr>
          <w:szCs w:val="24"/>
        </w:rPr>
      </w:pPr>
      <w:r w:rsidRPr="000062BB">
        <w:t>–</w:t>
      </w:r>
      <w:r w:rsidRPr="000062BB">
        <w:tab/>
        <w:t>so zreteľom na predbežný návrh odhadu rozpočtu, ktorý vypracovalo Predsedníctvo 11. marca 2024 v súlade s článkom 25 ods. 7 a článkom 102 ods. 1 rokovacieho poriadku,</w:t>
      </w:r>
    </w:p>
    <w:p w:rsidR="0074130F" w:rsidRPr="000062BB" w:rsidRDefault="0074130F" w:rsidP="0074130F">
      <w:pPr>
        <w:pStyle w:val="NormalHanging12a"/>
        <w:rPr>
          <w:szCs w:val="24"/>
        </w:rPr>
      </w:pPr>
      <w:r w:rsidRPr="000062BB">
        <w:t>–</w:t>
      </w:r>
      <w:r w:rsidRPr="000062BB">
        <w:tab/>
        <w:t>so zreteľom na návrh odhadu rozpočtu, ktorý vypracoval Výbor pre rozpočet v súlade s článkom 102 ods. 2 rokovacieho poriadku,</w:t>
      </w:r>
    </w:p>
    <w:p w:rsidR="0074130F" w:rsidRPr="000062BB" w:rsidRDefault="0074130F" w:rsidP="0074130F">
      <w:pPr>
        <w:pStyle w:val="NormalHanging12a"/>
        <w:rPr>
          <w:szCs w:val="24"/>
        </w:rPr>
      </w:pPr>
      <w:r w:rsidRPr="000062BB">
        <w:t>–</w:t>
      </w:r>
      <w:r w:rsidRPr="000062BB">
        <w:tab/>
        <w:t>zo zreteľom na článok 102 rokovacieho poriadku,</w:t>
      </w:r>
    </w:p>
    <w:p w:rsidR="0074130F" w:rsidRPr="000062BB" w:rsidRDefault="0074130F" w:rsidP="0074130F">
      <w:pPr>
        <w:pStyle w:val="NormalHanging12a"/>
        <w:rPr>
          <w:szCs w:val="24"/>
        </w:rPr>
      </w:pPr>
      <w:r w:rsidRPr="000062BB">
        <w:t>–</w:t>
      </w:r>
      <w:r w:rsidRPr="000062BB">
        <w:tab/>
        <w:t>so zreteľom na správu Výboru pre rozpočet (A9-0180/2024),</w:t>
      </w:r>
    </w:p>
    <w:p w:rsidR="0074130F" w:rsidRPr="000062BB" w:rsidRDefault="0074130F" w:rsidP="0074130F">
      <w:pPr>
        <w:pStyle w:val="Action"/>
        <w:tabs>
          <w:tab w:val="clear" w:pos="357"/>
        </w:tabs>
        <w:spacing w:after="200"/>
        <w:ind w:left="567" w:hanging="567"/>
        <w:outlineLvl w:val="0"/>
        <w:rPr>
          <w:szCs w:val="24"/>
        </w:rPr>
      </w:pPr>
      <w:r w:rsidRPr="000062BB">
        <w:t>A.</w:t>
      </w:r>
      <w:r w:rsidRPr="000062BB">
        <w:tab/>
        <w:t xml:space="preserve">keďže rozpočet, ktorý 26. februára 2024 navrhol generálny tajomník na účely predbežného návrhu odhadu rozpočtu Európskeho parlamentu na rok 2025, predstavuje 2 507 233 329 EUR a zvýšenie o 5,21 % alebo 124 132 017 EUR v porovnaní s </w:t>
      </w:r>
      <w:r w:rsidRPr="000062BB">
        <w:lastRenderedPageBreak/>
        <w:t xml:space="preserve">rozpočtom na rok 2024; </w:t>
      </w:r>
    </w:p>
    <w:p w:rsidR="0074130F" w:rsidRPr="000062BB" w:rsidRDefault="0074130F" w:rsidP="0074130F">
      <w:pPr>
        <w:pStyle w:val="Action"/>
        <w:tabs>
          <w:tab w:val="clear" w:pos="357"/>
        </w:tabs>
        <w:spacing w:after="200"/>
        <w:ind w:left="567" w:hanging="567"/>
        <w:outlineLvl w:val="0"/>
        <w:rPr>
          <w:szCs w:val="24"/>
        </w:rPr>
      </w:pPr>
      <w:r w:rsidRPr="000062BB">
        <w:t>B.</w:t>
      </w:r>
      <w:r w:rsidRPr="000062BB">
        <w:tab/>
        <w:t>keďže Komisia vo svojej (predbežnej) prognóze zo zimy 2024 predpokladá, že miera inflácie v EÚ dosiahne 3 % v roku 2024 a 2,5 % v roku 2025; keďže úroveň výdavkov v okruhu 7 VFR na roky 2021 – 2027 vychádza z ročného zvýšenia o 2 %;</w:t>
      </w:r>
    </w:p>
    <w:p w:rsidR="0074130F" w:rsidRPr="000062BB" w:rsidRDefault="0074130F" w:rsidP="0074130F">
      <w:pPr>
        <w:pStyle w:val="Action"/>
        <w:tabs>
          <w:tab w:val="clear" w:pos="357"/>
        </w:tabs>
        <w:spacing w:after="200"/>
        <w:ind w:left="567" w:hanging="567"/>
        <w:outlineLvl w:val="0"/>
        <w:rPr>
          <w:szCs w:val="24"/>
        </w:rPr>
      </w:pPr>
      <w:r w:rsidRPr="000062BB">
        <w:t>C.</w:t>
      </w:r>
      <w:r w:rsidRPr="000062BB">
        <w:tab/>
        <w:t xml:space="preserve">keďže dôveryhodnosť Európskeho parlamentu závisí od jeho schopnosti plniť svoju hlavnú rozpočtovú, legislatívnu a kontrolnú prácu na najvyššej úrovni a zároveň slúžiť ako príklad pre ostatné inštitúcie </w:t>
      </w:r>
      <w:r w:rsidR="00225345" w:rsidRPr="000062BB">
        <w:t>E</w:t>
      </w:r>
      <w:r w:rsidRPr="000062BB">
        <w:t xml:space="preserve">Ú, aby plánovali a vynakladali svoje výdavky obozretne a efektívne a aby zohľadňovali aktuálnu hospodársku realitu; </w:t>
      </w:r>
    </w:p>
    <w:p w:rsidR="0074130F" w:rsidRPr="000062BB" w:rsidRDefault="0074130F" w:rsidP="0074130F">
      <w:pPr>
        <w:pStyle w:val="Action"/>
        <w:tabs>
          <w:tab w:val="clear" w:pos="357"/>
        </w:tabs>
        <w:spacing w:after="200"/>
        <w:ind w:left="567" w:hanging="567"/>
        <w:outlineLvl w:val="0"/>
        <w:rPr>
          <w:szCs w:val="24"/>
        </w:rPr>
      </w:pPr>
      <w:r w:rsidRPr="000062BB">
        <w:t>D.</w:t>
      </w:r>
      <w:r w:rsidRPr="000062BB">
        <w:tab/>
        <w:t>keďže rok 2025 bude prvým celým rokom po voľbách, a preto sa obnoví bežné tempo hlavných politických a podporných činností;</w:t>
      </w:r>
    </w:p>
    <w:p w:rsidR="0074130F" w:rsidRPr="000062BB" w:rsidRDefault="0074130F" w:rsidP="0074130F">
      <w:pPr>
        <w:pStyle w:val="Action"/>
        <w:tabs>
          <w:tab w:val="clear" w:pos="357"/>
        </w:tabs>
        <w:spacing w:after="200"/>
        <w:ind w:left="567" w:hanging="567"/>
        <w:outlineLvl w:val="0"/>
        <w:rPr>
          <w:szCs w:val="24"/>
        </w:rPr>
      </w:pPr>
      <w:r w:rsidRPr="000062BB">
        <w:t xml:space="preserve">E. </w:t>
      </w:r>
      <w:r w:rsidRPr="000062BB">
        <w:tab/>
        <w:t xml:space="preserve">keďže </w:t>
      </w:r>
      <w:r w:rsidR="00004242" w:rsidRPr="000062BB">
        <w:t>Európsky p</w:t>
      </w:r>
      <w:r w:rsidRPr="000062BB">
        <w:t xml:space="preserve">arlament dokončil svoj hĺbkový reformný proces, ktorý sa začal minulý rok s cieľom na jednej strane preskúmať svoje vnútorné pracovné metódy, čím sa zefektívni parlamentná práca, a na druhej strane posilniť svoju inštitucionálnu úlohu vedúcu k lepšiemu fungovaniu </w:t>
      </w:r>
      <w:r w:rsidR="00004242" w:rsidRPr="000062BB">
        <w:t>Európskeho p</w:t>
      </w:r>
      <w:r w:rsidRPr="000062BB">
        <w:t xml:space="preserve">arlamentu ako </w:t>
      </w:r>
      <w:proofErr w:type="spellStart"/>
      <w:r w:rsidRPr="000062BB">
        <w:t>spoluzákonodarcu</w:t>
      </w:r>
      <w:proofErr w:type="spellEnd"/>
      <w:r w:rsidRPr="000062BB">
        <w:t>, ako zložky rozpočtového orgánu a ako orgánu udeľujúceho absolutórium a k zvýšeniu jeho schopnosti vykonávať demokratický dohľad;</w:t>
      </w:r>
    </w:p>
    <w:p w:rsidR="0074130F" w:rsidRPr="000062BB" w:rsidRDefault="0074130F" w:rsidP="0074130F">
      <w:pPr>
        <w:tabs>
          <w:tab w:val="left" w:pos="567"/>
        </w:tabs>
        <w:spacing w:after="240"/>
        <w:ind w:left="567" w:hanging="567"/>
        <w:rPr>
          <w:b/>
          <w:bCs/>
          <w:i/>
          <w:iCs/>
          <w:szCs w:val="24"/>
        </w:rPr>
      </w:pPr>
      <w:r w:rsidRPr="000062BB">
        <w:rPr>
          <w:b/>
          <w:i/>
        </w:rPr>
        <w:t>Všeobecný rámec</w:t>
      </w:r>
    </w:p>
    <w:p w:rsidR="0074130F" w:rsidRPr="000062BB" w:rsidRDefault="0074130F" w:rsidP="0074130F">
      <w:pPr>
        <w:pStyle w:val="action0"/>
        <w:spacing w:after="200"/>
        <w:ind w:left="567" w:hanging="567"/>
        <w:rPr>
          <w:bCs/>
          <w:iCs/>
        </w:rPr>
      </w:pPr>
      <w:r w:rsidRPr="000062BB">
        <w:t>1.</w:t>
      </w:r>
      <w:r w:rsidRPr="000062BB">
        <w:tab/>
        <w:t>vyjadruje znepokojenie nad situáciou týkajúcou sa okruhu 7 v súčasnom VFR; pripomína, že dané obmedzenia sú výsledkom škrtov, ktoré Rada uplatnila na už aj tak veľmi nízky pôvodný návrh Komisie pri schvaľovaní súčasného VFR na roky 2021 – 2027; vyjadruje poľutovanie nad nesúhlasom Rady s návrhom Komisie zvýšiť strop okruhu 7 v revízii VFR od roku 2024; upozorňuje, že v revízii VFR sa nevyriešila otázka stropu okruhu 7; zdôrazňuje, že predpokladaná záporná rezerva na rok 2025 znamená, že sa na tento účel použijú osobitné nástroje v okruhu 7;</w:t>
      </w:r>
    </w:p>
    <w:p w:rsidR="0074130F" w:rsidRPr="000062BB" w:rsidRDefault="0074130F" w:rsidP="0074130F">
      <w:pPr>
        <w:pStyle w:val="action0"/>
        <w:spacing w:after="200"/>
        <w:ind w:left="567" w:hanging="567"/>
      </w:pPr>
      <w:r w:rsidRPr="000062BB">
        <w:t xml:space="preserve">2. </w:t>
      </w:r>
      <w:r w:rsidRPr="000062BB">
        <w:tab/>
        <w:t>pripomína, že takmer dve tretiny rozpočtu tvoria štatutárne záväzky; pripomína, že Komisia v súlade so služobným poriadkom a so štatútom poslancov Európskeho parlamentu v súčasnosti odhaduje indexáciu platov na júl 2024 na úrovni 5,3 %, na apríl 2025 na úrovni 0,6 % a na júl 2025 na úrovni 3,7 %; konštatuje, že rozpočet na rok 2024 zahŕňa indexáciu platov vo výške 3,4 % od júla 2024; konštatuje, že Výbor pre rozpočet bude monitorovať oficiálne predpokladaný vývoj indexácie platov;</w:t>
      </w:r>
    </w:p>
    <w:p w:rsidR="0074130F" w:rsidRPr="000062BB" w:rsidRDefault="0074130F" w:rsidP="0082671D">
      <w:pPr>
        <w:pStyle w:val="action0"/>
        <w:spacing w:after="200"/>
        <w:ind w:left="567" w:hanging="567"/>
      </w:pPr>
      <w:r w:rsidRPr="000062BB">
        <w:t>3.</w:t>
      </w:r>
      <w:r w:rsidRPr="000062BB">
        <w:tab/>
        <w:t xml:space="preserve">schvaľuje dohodu dosiahnutú v zmierovacom postupe medzi Predsedníctvom a Výborom pre rozpočet 9. apríla 2024 o stanovení zvýšenia oproti rozpočtu na rok 2024 o 4,87 %, čo zodpovedá celkovej úrovni odhadu rozpočtu vo výške 2 499 233 329 EUR na rok 2025, a o zodpovedajúcom znížení navrhovaných rozpočtových prostriedkov o celkovú sumu 11 000 000 EUR v týchto rozpočtových riadkoch: </w:t>
      </w:r>
    </w:p>
    <w:p w:rsidR="0074130F" w:rsidRPr="000062BB" w:rsidRDefault="0074130F" w:rsidP="0082671D">
      <w:pPr>
        <w:pStyle w:val="action0"/>
        <w:spacing w:after="200"/>
        <w:ind w:left="567" w:firstLine="0"/>
      </w:pPr>
      <w:r w:rsidRPr="000062BB">
        <w:t>2 0 0 0 – Nájom, 2 0 0 7 – Výstavba budov a úprava priestorov, 2 3 9 0 – EMAS a činnosti v oblasti udržateľnosti vrátane propagácie a systém kompenzácie emisií CO</w:t>
      </w:r>
      <w:r w:rsidRPr="000062BB">
        <w:rPr>
          <w:vertAlign w:val="subscript"/>
        </w:rPr>
        <w:t>2</w:t>
      </w:r>
      <w:r w:rsidRPr="000062BB">
        <w:t xml:space="preserve"> Európskeho parlamentu, 3 2 4 2 – Výdavky na publikovanie, informovanie verejnosti a účasť na verejných podujatiach, 3 2 4 3 – Návštevnícke centrá Európskeho parlamentu, 10 1 – Rezerva na nepredvídané výdavky;</w:t>
      </w:r>
    </w:p>
    <w:p w:rsidR="0074130F" w:rsidRPr="000062BB" w:rsidRDefault="0074130F" w:rsidP="0082671D">
      <w:pPr>
        <w:pStyle w:val="action0"/>
        <w:spacing w:after="200"/>
        <w:ind w:left="567" w:firstLine="0"/>
      </w:pPr>
      <w:r w:rsidRPr="000062BB">
        <w:t xml:space="preserve">okrem toho sa rozhodol zvýšiť úroveň výdavkov z predbežného návrhu odhadu rozpočtu, ktorý schválilo Predsedníctvo 11. marca 2024, o 3 000 000 EUR a </w:t>
      </w:r>
      <w:r w:rsidRPr="000062BB">
        <w:lastRenderedPageBreak/>
        <w:t>zodpovedajúcim spôsobom zvýšiť navrhované rozpočtové prostriedky v týchto rozpočtových riadkoch:</w:t>
      </w:r>
    </w:p>
    <w:p w:rsidR="0074130F" w:rsidRPr="000062BB" w:rsidRDefault="0074130F" w:rsidP="0082671D">
      <w:pPr>
        <w:pStyle w:val="action0"/>
        <w:ind w:left="567" w:firstLine="0"/>
      </w:pPr>
      <w:r w:rsidRPr="000062BB">
        <w:t xml:space="preserve">3 2 4 4 — Organizovanie a prijímanie skupín návštevníkov, program </w:t>
      </w:r>
      <w:proofErr w:type="spellStart"/>
      <w:r w:rsidRPr="000062BB">
        <w:t>Euroscola</w:t>
      </w:r>
      <w:proofErr w:type="spellEnd"/>
      <w:r w:rsidRPr="000062BB">
        <w:t xml:space="preserve"> a pozývanie </w:t>
      </w:r>
      <w:proofErr w:type="spellStart"/>
      <w:r w:rsidRPr="000062BB">
        <w:t>mienkotvorcov</w:t>
      </w:r>
      <w:proofErr w:type="spellEnd"/>
      <w:r w:rsidRPr="000062BB">
        <w:t xml:space="preserve"> z tretích krajín; 4 0 3 — Financovanie európskych politických nadácií;</w:t>
      </w:r>
    </w:p>
    <w:p w:rsidR="0074130F" w:rsidRPr="000062BB" w:rsidRDefault="0074130F" w:rsidP="0074130F">
      <w:pPr>
        <w:pStyle w:val="action0"/>
        <w:spacing w:after="200"/>
        <w:ind w:left="567" w:hanging="567"/>
      </w:pPr>
      <w:r w:rsidRPr="000062BB">
        <w:t>4.</w:t>
      </w:r>
      <w:r w:rsidRPr="000062BB">
        <w:tab/>
        <w:t>konštatuje, že zo zvýšenia o 116 miliónov EUR v porovnaní s rozpočtom na rok 2024 predstavujú 98 miliónov EUR štatutárne záväzky, najmä na indexáciu platov zamestnancov (54,7 milióna EUR) a výdavky súvisiace s asistentskou výpomocou (33,2 milióna EUR); konštatuje, že zvýšenie iných ako štatutárnych výdavkov medzi rokmi 2024 a 2025 nepresahuje 2 %;</w:t>
      </w:r>
    </w:p>
    <w:p w:rsidR="0074130F" w:rsidRPr="000062BB" w:rsidRDefault="0074130F" w:rsidP="0074130F">
      <w:pPr>
        <w:pStyle w:val="action0"/>
        <w:spacing w:after="200"/>
        <w:ind w:left="567" w:hanging="567"/>
      </w:pPr>
      <w:r w:rsidRPr="000062BB">
        <w:t xml:space="preserve">5. </w:t>
      </w:r>
      <w:r w:rsidRPr="000062BB">
        <w:tab/>
        <w:t xml:space="preserve">konštatuje, že </w:t>
      </w:r>
      <w:r w:rsidR="00004242" w:rsidRPr="000062BB">
        <w:t>Európsky p</w:t>
      </w:r>
      <w:r w:rsidRPr="000062BB">
        <w:t>arlament nepožaduje žiadne dodatočné pracovné miesta na rok 2025;</w:t>
      </w:r>
    </w:p>
    <w:p w:rsidR="0074130F" w:rsidRPr="000062BB" w:rsidRDefault="0074130F" w:rsidP="0074130F">
      <w:pPr>
        <w:pStyle w:val="action0"/>
        <w:spacing w:after="200"/>
        <w:ind w:left="567" w:hanging="567"/>
      </w:pPr>
      <w:r w:rsidRPr="000062BB">
        <w:t xml:space="preserve">6. </w:t>
      </w:r>
      <w:r w:rsidRPr="000062BB">
        <w:tab/>
        <w:t>konštatuje, že 98 stálych pracovných miest vytvorených v rozpočte na rok 2023 s cieľom uľahčiť uplatňovanie článku 29 ods. 4 služobného poriadku bolo v pláne pracovných miest na rok 2025 zrušených;</w:t>
      </w:r>
    </w:p>
    <w:p w:rsidR="0074130F" w:rsidRPr="000062BB" w:rsidRDefault="0074130F" w:rsidP="0074130F">
      <w:pPr>
        <w:pStyle w:val="Action"/>
        <w:spacing w:after="200"/>
        <w:outlineLvl w:val="0"/>
        <w:rPr>
          <w:b/>
          <w:i/>
          <w:szCs w:val="24"/>
        </w:rPr>
      </w:pPr>
      <w:r w:rsidRPr="000062BB">
        <w:rPr>
          <w:b/>
          <w:i/>
        </w:rPr>
        <w:t xml:space="preserve">Skupiny návštevníkov a centrá </w:t>
      </w:r>
      <w:proofErr w:type="spellStart"/>
      <w:r w:rsidRPr="000062BB">
        <w:rPr>
          <w:b/>
          <w:i/>
        </w:rPr>
        <w:t>Europa</w:t>
      </w:r>
      <w:proofErr w:type="spellEnd"/>
      <w:r w:rsidRPr="000062BB">
        <w:rPr>
          <w:b/>
          <w:i/>
        </w:rPr>
        <w:t xml:space="preserve"> </w:t>
      </w:r>
      <w:proofErr w:type="spellStart"/>
      <w:r w:rsidRPr="000062BB">
        <w:rPr>
          <w:b/>
          <w:i/>
        </w:rPr>
        <w:t>Experience</w:t>
      </w:r>
      <w:proofErr w:type="spellEnd"/>
    </w:p>
    <w:p w:rsidR="0074130F" w:rsidRPr="000062BB" w:rsidRDefault="0074130F" w:rsidP="0074130F">
      <w:pPr>
        <w:pStyle w:val="action0"/>
        <w:spacing w:after="200"/>
        <w:ind w:left="567" w:hanging="567"/>
      </w:pPr>
      <w:r w:rsidRPr="000062BB">
        <w:t>7.</w:t>
      </w:r>
      <w:r w:rsidRPr="000062BB">
        <w:tab/>
        <w:t xml:space="preserve">pripomína, že skupiny návštevníkov na všetkých pracoviskách </w:t>
      </w:r>
      <w:r w:rsidR="00004242" w:rsidRPr="000062BB">
        <w:t>Európskeho p</w:t>
      </w:r>
      <w:r w:rsidRPr="000062BB">
        <w:t xml:space="preserve">arlamentu predstavujú pre poslancov dôležitý nástroj na nadväzovanie kontaktov s voličmi a na ukážku ich parlamentnej práce voličom; zdôrazňuje, že skupiny návštevníkov prispievajú k propagácii úlohy </w:t>
      </w:r>
      <w:r w:rsidR="00004242" w:rsidRPr="000062BB">
        <w:t>Európskeho p</w:t>
      </w:r>
      <w:r w:rsidRPr="000062BB">
        <w:t xml:space="preserve">arlamentu medzi voličmi v celej </w:t>
      </w:r>
      <w:r w:rsidR="00225345" w:rsidRPr="000062BB">
        <w:t>E</w:t>
      </w:r>
      <w:r w:rsidRPr="000062BB">
        <w:t>Ú;</w:t>
      </w:r>
    </w:p>
    <w:p w:rsidR="0074130F" w:rsidRPr="000062BB" w:rsidRDefault="0074130F" w:rsidP="0074130F">
      <w:pPr>
        <w:pStyle w:val="action0"/>
        <w:spacing w:after="200"/>
        <w:ind w:left="567" w:hanging="567"/>
      </w:pPr>
      <w:r w:rsidRPr="000062BB">
        <w:t>8.</w:t>
      </w:r>
      <w:r w:rsidRPr="000062BB">
        <w:tab/>
        <w:t>so znepokojením berie na vedomie rastúce ťažkosti pri organizovaní takýchto návštev z dôvodu finančných obmedzení súčasného rozpočtu, najmä pre poslancov z členských štátov, ktoré sú geograficky vzdialené od Bruselu a Štrasburgu; požaduje dostatočné finančné prostriedky na pokrytie výdavkov spojených s cestovaním a ubytovaním, pričom sa zohľadní miera inflácie a ceny, a to v krajinách pôvodu skupín návštevníkov, ako aj v Bruseli a Štrasburgu; domnieva sa, že na riešenie bežných podmienok je potrebné zvýšenie prostriedkov pridelených na osobu o 10 %; vyzýva generálneho tajomníka, aby kvestorom čo najskôr navrhol zvýšenie stropov na pokryté náklady s cieľom aj ďalej poskytovať a zvyšovať podporu poslancom pri umožňovaní skupinových návštev v</w:t>
      </w:r>
      <w:r w:rsidR="00004242" w:rsidRPr="000062BB">
        <w:t> Európskom p</w:t>
      </w:r>
      <w:r w:rsidRPr="000062BB">
        <w:t xml:space="preserve">arlamente; </w:t>
      </w:r>
    </w:p>
    <w:p w:rsidR="0074130F" w:rsidRPr="000062BB" w:rsidRDefault="0074130F" w:rsidP="0074130F">
      <w:pPr>
        <w:pStyle w:val="action0"/>
        <w:spacing w:after="200"/>
        <w:ind w:left="567" w:hanging="567"/>
      </w:pPr>
      <w:r w:rsidRPr="000062BB">
        <w:t>9.</w:t>
      </w:r>
      <w:r w:rsidRPr="000062BB">
        <w:tab/>
        <w:t>so znepokojením berie na vedomie vnútorné pravidlá upravujúce skupiny návštevníkov poslancov E</w:t>
      </w:r>
      <w:r w:rsidR="00225345" w:rsidRPr="000062BB">
        <w:t>urópskeho parlamentu</w:t>
      </w:r>
      <w:r w:rsidRPr="000062BB">
        <w:t xml:space="preserve">, z ktorých vyplýva, že za určitých okolností musia akreditovaní asistenti poslancov vynaložiť 30 % počiatočných nákladov; zdôrazňuje </w:t>
      </w:r>
      <w:proofErr w:type="spellStart"/>
      <w:r w:rsidRPr="000062BB">
        <w:t>nerealizovateľnosť</w:t>
      </w:r>
      <w:proofErr w:type="spellEnd"/>
      <w:r w:rsidRPr="000062BB">
        <w:t xml:space="preserve"> týchto pravidiel a finančnú záťaž, ktorú to predstavuje pre </w:t>
      </w:r>
      <w:r w:rsidR="00225345" w:rsidRPr="000062BB">
        <w:t>akreditovaných asistentov poslancov</w:t>
      </w:r>
      <w:r w:rsidRPr="000062BB">
        <w:t>; vyzýva Predsedníctvo, aby preskúmalo a aktualizovalo svoje existujúce pravidlá upravujúce návštevy s cieľom prekonať ťažkosti pri plánovaní a organizovaní návštev;</w:t>
      </w:r>
    </w:p>
    <w:p w:rsidR="0074130F" w:rsidRPr="000062BB" w:rsidRDefault="0074130F" w:rsidP="0074130F">
      <w:pPr>
        <w:pStyle w:val="NormalHanging12a"/>
        <w:spacing w:after="200"/>
        <w:rPr>
          <w:szCs w:val="24"/>
        </w:rPr>
      </w:pPr>
      <w:r w:rsidRPr="000062BB">
        <w:t>10.</w:t>
      </w:r>
      <w:r w:rsidRPr="000062BB">
        <w:tab/>
        <w:t xml:space="preserve">pripomína rozhodnutie Predsedníctva z 25. novembra 2019 zriadiť centrá </w:t>
      </w:r>
      <w:proofErr w:type="spellStart"/>
      <w:r w:rsidRPr="000062BB">
        <w:t>Europa</w:t>
      </w:r>
      <w:proofErr w:type="spellEnd"/>
      <w:r w:rsidRPr="000062BB">
        <w:t xml:space="preserve"> </w:t>
      </w:r>
      <w:proofErr w:type="spellStart"/>
      <w:r w:rsidRPr="000062BB">
        <w:t>Experience</w:t>
      </w:r>
      <w:proofErr w:type="spellEnd"/>
      <w:r w:rsidRPr="000062BB">
        <w:t xml:space="preserve"> vo všetkých členských štátoch do konca roka 2024; vyjadruje poľutovanie nad oneskoreniami v zriadení centier </w:t>
      </w:r>
      <w:proofErr w:type="spellStart"/>
      <w:r w:rsidRPr="000062BB">
        <w:t>Europa</w:t>
      </w:r>
      <w:proofErr w:type="spellEnd"/>
      <w:r w:rsidRPr="000062BB">
        <w:t xml:space="preserve"> </w:t>
      </w:r>
      <w:proofErr w:type="spellStart"/>
      <w:r w:rsidRPr="000062BB">
        <w:t>Experience</w:t>
      </w:r>
      <w:proofErr w:type="spellEnd"/>
      <w:r w:rsidRPr="000062BB">
        <w:t xml:space="preserve"> vo všetkých členských štátoch pred voľbami do Európskeho parlamentu v roku 2024 a konštatuje, že v súčasnosti ich funguje len 12; uznáva, že k týmto oneskoreniam prispeli viaceré vonkajšie faktory vrátane nestálosti trhov s nehnuteľnosťami;</w:t>
      </w:r>
    </w:p>
    <w:p w:rsidR="0074130F" w:rsidRPr="000062BB" w:rsidRDefault="0074130F" w:rsidP="0074130F">
      <w:pPr>
        <w:pStyle w:val="action0"/>
        <w:spacing w:after="200"/>
        <w:ind w:left="567" w:hanging="567"/>
      </w:pPr>
      <w:r w:rsidRPr="000062BB">
        <w:lastRenderedPageBreak/>
        <w:t>11.</w:t>
      </w:r>
      <w:r w:rsidRPr="000062BB">
        <w:tab/>
        <w:t xml:space="preserve">berie na vedomie, že v roku 2025 sa plánuje otvorenie piatich centier (v Aténach, Záhrebe, Haagu, Sofii a Budapešti); vyzýva na čo najskoršie zriadenie centier </w:t>
      </w:r>
      <w:proofErr w:type="spellStart"/>
      <w:r w:rsidRPr="000062BB">
        <w:t>Europa</w:t>
      </w:r>
      <w:proofErr w:type="spellEnd"/>
      <w:r w:rsidRPr="000062BB">
        <w:t xml:space="preserve"> </w:t>
      </w:r>
      <w:proofErr w:type="spellStart"/>
      <w:r w:rsidRPr="000062BB">
        <w:t>Experience</w:t>
      </w:r>
      <w:proofErr w:type="spellEnd"/>
      <w:r w:rsidRPr="000062BB">
        <w:t xml:space="preserve"> vo všetkých členských štátoch; pripomína, že centrá </w:t>
      </w:r>
      <w:proofErr w:type="spellStart"/>
      <w:r w:rsidRPr="000062BB">
        <w:t>Europa</w:t>
      </w:r>
      <w:proofErr w:type="spellEnd"/>
      <w:r w:rsidRPr="000062BB">
        <w:t xml:space="preserve"> </w:t>
      </w:r>
      <w:proofErr w:type="spellStart"/>
      <w:r w:rsidRPr="000062BB">
        <w:t>Experience</w:t>
      </w:r>
      <w:proofErr w:type="spellEnd"/>
      <w:r w:rsidRPr="000062BB">
        <w:t xml:space="preserve"> by mali všetkým občanom umožniť lepšie pochopiť fungovanie inštitúcií </w:t>
      </w:r>
      <w:r w:rsidR="00225345" w:rsidRPr="000062BB">
        <w:t>E</w:t>
      </w:r>
      <w:r w:rsidRPr="000062BB">
        <w:t>Ú;</w:t>
      </w:r>
    </w:p>
    <w:p w:rsidR="0074130F" w:rsidRPr="000062BB" w:rsidRDefault="0074130F" w:rsidP="0074130F">
      <w:pPr>
        <w:pStyle w:val="Action"/>
        <w:keepNext/>
        <w:spacing w:after="200"/>
        <w:outlineLvl w:val="0"/>
        <w:rPr>
          <w:b/>
          <w:bCs/>
          <w:i/>
          <w:szCs w:val="24"/>
        </w:rPr>
      </w:pPr>
      <w:r w:rsidRPr="000062BB">
        <w:rPr>
          <w:b/>
          <w:i/>
        </w:rPr>
        <w:t>Infraštruktúra</w:t>
      </w:r>
    </w:p>
    <w:p w:rsidR="0074130F" w:rsidRPr="000062BB" w:rsidRDefault="0074130F" w:rsidP="0082671D">
      <w:pPr>
        <w:pStyle w:val="action0"/>
        <w:spacing w:after="200"/>
        <w:ind w:left="567" w:hanging="567"/>
      </w:pPr>
      <w:r w:rsidRPr="000062BB">
        <w:t xml:space="preserve">12. </w:t>
      </w:r>
      <w:r w:rsidRPr="000062BB">
        <w:tab/>
        <w:t xml:space="preserve">berie na vedomie, že Výbor pre rozpočet schválil rozhodnutie Predsedníctva vykonať rozsiahlu renováciu budovy SPAAK v súlade s uznesením </w:t>
      </w:r>
      <w:r w:rsidR="00004242" w:rsidRPr="000062BB">
        <w:t>Európskeho p</w:t>
      </w:r>
      <w:r w:rsidRPr="000062BB">
        <w:t>arlamentu z 19.</w:t>
      </w:r>
      <w:r w:rsidR="00004242" w:rsidRPr="000062BB">
        <w:t> </w:t>
      </w:r>
      <w:r w:rsidRPr="000062BB">
        <w:t>októbra 2022 o pozícii Rady k návrhu všeobecného rozpočtu Európskej únie na rozpočtový rok 2023</w:t>
      </w:r>
      <w:r w:rsidRPr="000062BB">
        <w:rPr>
          <w:rStyle w:val="FootnoteReference"/>
        </w:rPr>
        <w:footnoteReference w:id="14"/>
      </w:r>
      <w:r w:rsidRPr="000062BB">
        <w:t xml:space="preserve">; zdôrazňuje, že súčasná budova má veľmi nízku energetickú hospodárnosť a chýba jej potrebná flexibilita, aby bola vhodná na daný účel; zdôrazňuje, že </w:t>
      </w:r>
      <w:r w:rsidR="00004242" w:rsidRPr="000062BB">
        <w:t>Európsky p</w:t>
      </w:r>
      <w:r w:rsidRPr="000062BB">
        <w:t>arlament by mal riadiť svoje portfólio budov z hľadiska energetickej účinnosti a udržateľnosti tak, aby dosiahol súlad s cieľmi Zelenej dohody; konštatuje, že renovácia povedie k výrazným každoročným úsporám a zníženiu emisií CO</w:t>
      </w:r>
      <w:r w:rsidRPr="000062BB">
        <w:rPr>
          <w:vertAlign w:val="subscript"/>
        </w:rPr>
        <w:t>2</w:t>
      </w:r>
      <w:r w:rsidRPr="000062BB">
        <w:t xml:space="preserve"> a pomôže splniť požiadavky revidovanej smernice o energetickej efektívnosti a smernice o energetickej hospodárnosti budov; pripomína Predsedníctvu, že pred prijatím každého významného rozhodnutia o otázkach súvisiacich s budovami a ich financovaním je vzhľadom na ich podstatný vplyv na rozpočet potrebná transparentnosť, riadne informovanie Výboru pre rozpočet a konzultácia s týmto výborom, čo zahŕňa prístup k vyčerpávajúcim podrobnostiam;</w:t>
      </w:r>
    </w:p>
    <w:p w:rsidR="0074130F" w:rsidRPr="000062BB" w:rsidRDefault="0074130F" w:rsidP="0074130F">
      <w:pPr>
        <w:pStyle w:val="action0"/>
        <w:spacing w:after="200"/>
        <w:ind w:left="567" w:hanging="567"/>
      </w:pPr>
      <w:r w:rsidRPr="000062BB">
        <w:t>13.</w:t>
      </w:r>
      <w:r w:rsidRPr="000062BB">
        <w:tab/>
        <w:t xml:space="preserve">berie na vedomie, že v roku 2025 treba začať renovačné práce na budove TREVES II s cieľom zabezpečiť dočasné priestory pre zamestnancov, ktorí budú vysťahovaní počas renovácie budovy SPAAK; </w:t>
      </w:r>
    </w:p>
    <w:p w:rsidR="0074130F" w:rsidRPr="000062BB" w:rsidRDefault="0074130F" w:rsidP="0074130F">
      <w:pPr>
        <w:pStyle w:val="NormalHanging12a"/>
        <w:rPr>
          <w:szCs w:val="24"/>
        </w:rPr>
      </w:pPr>
      <w:r w:rsidRPr="000062BB">
        <w:t>14.</w:t>
      </w:r>
      <w:r w:rsidRPr="000062BB">
        <w:tab/>
        <w:t xml:space="preserve">víta politiku </w:t>
      </w:r>
      <w:r w:rsidR="00004242" w:rsidRPr="000062BB">
        <w:t>Európskeho p</w:t>
      </w:r>
      <w:r w:rsidRPr="000062BB">
        <w:t xml:space="preserve">arlamentu zameranú na zabezpečenie plne nezávislého využívania budov </w:t>
      </w:r>
      <w:r w:rsidR="00004242" w:rsidRPr="000062BB">
        <w:t>Európskeho p</w:t>
      </w:r>
      <w:r w:rsidRPr="000062BB">
        <w:t>arlamentu osobami so zdravotným postihnutím a podporuje ďalšie opatrenia a úpravy, ktoré budú v tejto súvislosti potrebné; uznáva potrebu zlepšiť prístup osôb so zdravotným postihnutím do rokovacej sály v Štrasburgu;</w:t>
      </w:r>
    </w:p>
    <w:p w:rsidR="0074130F" w:rsidRPr="000062BB" w:rsidRDefault="0074130F" w:rsidP="0074130F">
      <w:pPr>
        <w:pStyle w:val="action0"/>
        <w:spacing w:after="200"/>
        <w:ind w:left="567" w:hanging="567"/>
      </w:pPr>
      <w:r w:rsidRPr="000062BB">
        <w:t>15.</w:t>
      </w:r>
      <w:r w:rsidRPr="000062BB">
        <w:tab/>
        <w:t xml:space="preserve">pripomína, že administratíva Európskeho parlamentu v súčasnosti pracuje na komplexnom prístupe k vymedzeniu dlhodobej politiky Európskeho parlamentu v oblasti budov, pričom zohľadňuje najmä environmentálne záväzky, náklady a rozpočtové obmedzenia, energetickú efektívnosť a nakladanie s odpadom v súlade s balíkom Fit </w:t>
      </w:r>
      <w:proofErr w:type="spellStart"/>
      <w:r w:rsidRPr="000062BB">
        <w:t>for</w:t>
      </w:r>
      <w:proofErr w:type="spellEnd"/>
      <w:r w:rsidRPr="000062BB">
        <w:t xml:space="preserve"> 55, a očakáva zverejnenie výsledkov; vyzýva na zohľadnenie pružných spôsobov práce, ktoré vznikli v dôsledku pandémie, pričom uznáva, že fyzická prítomnosť na politických rokovaniach, diskusiách alebo výmene názorov je pre tvorbu verejnej politiky aj naďalej účinnejšia; </w:t>
      </w:r>
    </w:p>
    <w:p w:rsidR="0074130F" w:rsidRPr="000062BB" w:rsidRDefault="0074130F" w:rsidP="0074130F">
      <w:pPr>
        <w:pStyle w:val="action0"/>
        <w:spacing w:after="200"/>
        <w:ind w:left="567" w:hanging="567"/>
      </w:pPr>
      <w:r w:rsidRPr="000062BB">
        <w:t xml:space="preserve">16. </w:t>
      </w:r>
      <w:r w:rsidRPr="000062BB">
        <w:tab/>
        <w:t>berie na vedomie prax tzv. zberného presunu na konci roka s cieľom prispieť na stavebné projekty; berie na vedomie, že tento zberný presun sa uskutočňuje systematicky z tých istých kapitol, hláv a často presne tých istých rozpočtových riadkov; poznamenáva, že ročný zberný presun môže slúžiť aj na iné účely ako na financovanie stavebných projektov;</w:t>
      </w:r>
    </w:p>
    <w:p w:rsidR="0074130F" w:rsidRPr="000062BB" w:rsidRDefault="0074130F" w:rsidP="0074130F">
      <w:pPr>
        <w:pStyle w:val="action0"/>
        <w:spacing w:after="200"/>
        <w:ind w:left="567" w:hanging="567"/>
      </w:pPr>
      <w:r w:rsidRPr="000062BB">
        <w:t>17.</w:t>
      </w:r>
      <w:r w:rsidRPr="000062BB">
        <w:tab/>
        <w:t xml:space="preserve">víta pokračujúce úsilie a opatrenia, ktoré </w:t>
      </w:r>
      <w:r w:rsidR="00004242" w:rsidRPr="000062BB">
        <w:t>Európsky p</w:t>
      </w:r>
      <w:r w:rsidRPr="000062BB">
        <w:t xml:space="preserve">arlament zaviedol s cieľom znížiť svoju environmentálnu stopu; opakuje svoju plnú podporu cieľom </w:t>
      </w:r>
      <w:r w:rsidR="00004242" w:rsidRPr="000062BB">
        <w:t>Európskeho p</w:t>
      </w:r>
      <w:r w:rsidRPr="000062BB">
        <w:t>arlamentu v rámci systému environmentálneho manažérstva (</w:t>
      </w:r>
      <w:r w:rsidR="00004242" w:rsidRPr="000062BB">
        <w:t>ďalej len „</w:t>
      </w:r>
      <w:r w:rsidRPr="000062BB">
        <w:t>EMAS</w:t>
      </w:r>
      <w:r w:rsidR="00004242" w:rsidRPr="000062BB">
        <w:t>“</w:t>
      </w:r>
      <w:r w:rsidRPr="000062BB">
        <w:t xml:space="preserve">) na rok 2024; očakáva, že </w:t>
      </w:r>
      <w:r w:rsidR="00004242" w:rsidRPr="000062BB">
        <w:t>Európsky p</w:t>
      </w:r>
      <w:r w:rsidRPr="000062BB">
        <w:t xml:space="preserve">arlament dosiahne všetky ciele týkajúce sa kľúčových </w:t>
      </w:r>
      <w:r w:rsidRPr="000062BB">
        <w:lastRenderedPageBreak/>
        <w:t xml:space="preserve">ukazovateľov výkonnosti EMAS do konca roka 2024 a pristúpi k prijatiu nových ambicióznych cieľov na nadchádzajúce roky; berie na vedomie najmä niekoľko úspechov v tejto súvislosti vrátane zníženia emisií uhlíka od roku 2006 o 44 %, zníženia používania papiera v porovnaní s rokom 2014 o 66 %, vysokej miery dochádzania zamestnancov do práce peši alebo na bicykli, výrazného zníženia používania plastov a úspešného zavádzania infraštruktúry na výrobu energie z obnoviteľných zdrojov, v dôsledku čoho </w:t>
      </w:r>
      <w:r w:rsidR="00004242" w:rsidRPr="000062BB">
        <w:t>Európsky pa</w:t>
      </w:r>
      <w:r w:rsidRPr="000062BB">
        <w:t>rlament v roku 2023 vyprodukoval 458 MWh slnečnej energie;</w:t>
      </w:r>
    </w:p>
    <w:p w:rsidR="0074130F" w:rsidRPr="000062BB" w:rsidRDefault="0074130F" w:rsidP="0074130F">
      <w:pPr>
        <w:pStyle w:val="action0"/>
        <w:spacing w:after="200"/>
        <w:ind w:left="567" w:hanging="567"/>
      </w:pPr>
      <w:r w:rsidRPr="000062BB">
        <w:t>18.</w:t>
      </w:r>
      <w:r w:rsidRPr="000062BB">
        <w:tab/>
        <w:t xml:space="preserve">berie na vedomie zvýšenie cien uhlíkových kreditov; poukazuje na to, že investície do energetickej efektívnosti sú dobrým spôsobom na získanie hodnoty za vynaložené peniaze; víta a podporuje investície do energie z obnoviteľných zdrojov a do postupného ukončenia používania fosílnych palív, najmä vzhľadom na energetickú krízu a geopolitický kontext, ako aj to, aby sa to odrazilo v ďalšej viacročnej stratégii v oblasti budov; konštatuje, že </w:t>
      </w:r>
      <w:r w:rsidR="00004242" w:rsidRPr="000062BB">
        <w:t>Európsky p</w:t>
      </w:r>
      <w:r w:rsidRPr="000062BB">
        <w:t xml:space="preserve">arlament inštaloval a naďalej inštaluje </w:t>
      </w:r>
      <w:proofErr w:type="spellStart"/>
      <w:r w:rsidRPr="000062BB">
        <w:t>fotovoltické</w:t>
      </w:r>
      <w:proofErr w:type="spellEnd"/>
      <w:r w:rsidRPr="000062BB">
        <w:t xml:space="preserve"> solárne panely s cieľom ďalej zvyšovať podiel energie z obnoviteľných zdrojov vyrábanej na mieste, aby dosiahol cieľ 25 %; pripomína, že takmer dve tretiny uhlíkovej stopy </w:t>
      </w:r>
      <w:r w:rsidR="00004242" w:rsidRPr="000062BB">
        <w:t>Európskeho p</w:t>
      </w:r>
      <w:r w:rsidRPr="000062BB">
        <w:t xml:space="preserve">arlamentu pochádzajú z prepravy ľudí; víta úsilie </w:t>
      </w:r>
      <w:r w:rsidR="00004242" w:rsidRPr="000062BB">
        <w:t>Európskeho p</w:t>
      </w:r>
      <w:r w:rsidRPr="000062BB">
        <w:t>arlamentu o zníženie emisií CO</w:t>
      </w:r>
      <w:r w:rsidRPr="000062BB">
        <w:rPr>
          <w:vertAlign w:val="subscript"/>
        </w:rPr>
        <w:t>2</w:t>
      </w:r>
      <w:r w:rsidRPr="000062BB">
        <w:t xml:space="preserve"> prostredníctvom prenajatých vlakov a vyzýva na zvýšenie ich dostupnosti s cieľom presunúť cestovanie medzi tromi pracoviskami do vlakov;</w:t>
      </w:r>
    </w:p>
    <w:p w:rsidR="0074130F" w:rsidRPr="000062BB" w:rsidRDefault="0074130F" w:rsidP="0074130F">
      <w:pPr>
        <w:pStyle w:val="Action"/>
        <w:keepNext/>
        <w:spacing w:after="200"/>
        <w:outlineLvl w:val="0"/>
        <w:rPr>
          <w:b/>
          <w:i/>
          <w:szCs w:val="24"/>
        </w:rPr>
      </w:pPr>
      <w:r w:rsidRPr="000062BB">
        <w:rPr>
          <w:b/>
          <w:i/>
        </w:rPr>
        <w:t>Iné otázky</w:t>
      </w:r>
    </w:p>
    <w:p w:rsidR="0074130F" w:rsidRPr="000062BB" w:rsidRDefault="0074130F" w:rsidP="0074130F">
      <w:pPr>
        <w:pStyle w:val="action0"/>
        <w:spacing w:after="200"/>
        <w:ind w:left="567" w:hanging="567"/>
      </w:pPr>
      <w:r w:rsidRPr="000062BB">
        <w:t>19.</w:t>
      </w:r>
      <w:r w:rsidRPr="000062BB">
        <w:tab/>
        <w:t xml:space="preserve">pripomína prebiehajúci zápas, do ktorého sa </w:t>
      </w:r>
      <w:r w:rsidR="00225345" w:rsidRPr="000062BB">
        <w:t>E</w:t>
      </w:r>
      <w:r w:rsidR="008D6ABB" w:rsidRPr="000062BB">
        <w:t>Ú</w:t>
      </w:r>
      <w:r w:rsidRPr="000062BB">
        <w:t xml:space="preserve"> zapája s cieľom chrániť európske hodnoty a zachovať integritu našich demokratických procesov; víta opatrenia prijaté </w:t>
      </w:r>
      <w:r w:rsidR="001360C6" w:rsidRPr="000062BB">
        <w:t>Európskym p</w:t>
      </w:r>
      <w:r w:rsidRPr="000062BB">
        <w:t>arlamentom v záujme presadzovania týchto cieľov bojom proti dezinformáciám a manipulácii s informáciami; vyzýva GR COMM a styčné kancelárie E</w:t>
      </w:r>
      <w:r w:rsidR="008D6ABB" w:rsidRPr="000062BB">
        <w:t>urópskeho parlamentu</w:t>
      </w:r>
      <w:r w:rsidRPr="000062BB">
        <w:t xml:space="preserve">, aby naďalej rozvíjali a vykonávali účinné stratégie na boj proti dezinformáciám a manipulácii s informáciami; zdôrazňuje, že jednou z najsilnejších zbraní proti dezinformáciám je pozitívna komunikácia o činnostiach </w:t>
      </w:r>
      <w:r w:rsidR="00004242" w:rsidRPr="000062BB">
        <w:t>Európskeho p</w:t>
      </w:r>
      <w:r w:rsidRPr="000062BB">
        <w:t>arlamentu založená na faktoch;</w:t>
      </w:r>
    </w:p>
    <w:p w:rsidR="0074130F" w:rsidRPr="000062BB" w:rsidRDefault="0074130F" w:rsidP="0074130F">
      <w:pPr>
        <w:pStyle w:val="action0"/>
        <w:spacing w:after="200"/>
        <w:ind w:left="567" w:hanging="567"/>
        <w:rPr>
          <w:rFonts w:eastAsia="Times New Roman"/>
        </w:rPr>
      </w:pPr>
      <w:r w:rsidRPr="000062BB">
        <w:t>20.</w:t>
      </w:r>
      <w:r w:rsidRPr="000062BB">
        <w:tab/>
        <w:t xml:space="preserve">pripomína, že </w:t>
      </w:r>
      <w:r w:rsidR="00004242" w:rsidRPr="000062BB">
        <w:t>Európsky p</w:t>
      </w:r>
      <w:r w:rsidRPr="000062BB">
        <w:t xml:space="preserve">arlament dôrazne podporuje viacjazyčnosť a presadzuje práva národnostných, regionálnych a jazykových menšín; domnieva sa, že </w:t>
      </w:r>
      <w:r w:rsidR="00004242" w:rsidRPr="000062BB">
        <w:t>Európsky p</w:t>
      </w:r>
      <w:r w:rsidRPr="000062BB">
        <w:t xml:space="preserve">arlament môže aktívne prispievať k boju proti dezinformáciám rozšírením svojej komunikácie aj v jazykoch jazykových menšín a komunít, ak je to náležité; žiada Predsedníctvo, aby rozšírilo rozsah tvorby a šírenia komunikačných materiálov </w:t>
      </w:r>
      <w:r w:rsidR="00004242" w:rsidRPr="000062BB">
        <w:t>Európskeho p</w:t>
      </w:r>
      <w:r w:rsidRPr="000062BB">
        <w:t xml:space="preserve">arlamentu, ktoré sú v súlade s potrebami národnostných, regionálnych a jazykových menšín v členských štátoch, napríklad pre styčné kancelárie </w:t>
      </w:r>
      <w:r w:rsidR="008D6ABB" w:rsidRPr="000062BB">
        <w:t xml:space="preserve">Európskeho parlamentu </w:t>
      </w:r>
      <w:r w:rsidRPr="000062BB">
        <w:t xml:space="preserve">a centrá </w:t>
      </w:r>
      <w:proofErr w:type="spellStart"/>
      <w:r w:rsidRPr="000062BB">
        <w:t>Europa</w:t>
      </w:r>
      <w:proofErr w:type="spellEnd"/>
      <w:r w:rsidRPr="000062BB">
        <w:t xml:space="preserve"> </w:t>
      </w:r>
      <w:proofErr w:type="spellStart"/>
      <w:r w:rsidRPr="000062BB">
        <w:t>Experience</w:t>
      </w:r>
      <w:proofErr w:type="spellEnd"/>
      <w:r w:rsidRPr="000062BB">
        <w:t xml:space="preserve">, a to ako spôsob boja proti akýmkoľvek pokusom využiť jazykové rozdiely na zabránenie súdržnosti; pripomína v tejto súvislosti úsilie, ktoré od začiatku ruskej útočnej vojny proti Ukrajine vynaložili styčné kancelárie </w:t>
      </w:r>
      <w:r w:rsidR="008D6ABB" w:rsidRPr="000062BB">
        <w:t xml:space="preserve">Európskeho parlamentu </w:t>
      </w:r>
      <w:r w:rsidRPr="000062BB">
        <w:t xml:space="preserve">v pobaltských krajinách s cieľom poskytovať občanom informácie v ukrajinskom a ruskom jazyku s osobitným zameraním na boj proti ruským dezinformáciám a propagande, a nabáda na pokračovanie podpory a propagácie takýchto aktivít v ukrajinčine a ruštine; zdôrazňuje význam aktívnej účasti styčných kancelárií </w:t>
      </w:r>
      <w:r w:rsidR="008D6ABB" w:rsidRPr="000062BB">
        <w:t>Európskeho parlamentu</w:t>
      </w:r>
      <w:r w:rsidRPr="000062BB">
        <w:t xml:space="preserve"> na vykonávaní práce </w:t>
      </w:r>
      <w:r w:rsidR="00004242" w:rsidRPr="000062BB">
        <w:t>Európskeho p</w:t>
      </w:r>
      <w:r w:rsidRPr="000062BB">
        <w:t>arlamentu týkajúcej sa občianskeho vzdelávania prostredníctvom viacerých programov zahŕňajúcich miestne komunity, školy a univerzity;</w:t>
      </w:r>
    </w:p>
    <w:p w:rsidR="0074130F" w:rsidRPr="000062BB" w:rsidRDefault="0074130F" w:rsidP="0074130F">
      <w:pPr>
        <w:pStyle w:val="action0"/>
        <w:spacing w:after="200"/>
        <w:ind w:left="567" w:hanging="567"/>
      </w:pPr>
      <w:r w:rsidRPr="000062BB">
        <w:lastRenderedPageBreak/>
        <w:t>21.</w:t>
      </w:r>
      <w:r w:rsidRPr="000062BB">
        <w:tab/>
        <w:t xml:space="preserve">zdôrazňuje potenciál umelej inteligencie, pokiaľ ide o podporu poslancov pri výkone ich mandátu a pri rôznych činnostiach administratívy </w:t>
      </w:r>
      <w:r w:rsidR="00004242" w:rsidRPr="000062BB">
        <w:t>Európskeho p</w:t>
      </w:r>
      <w:r w:rsidRPr="000062BB">
        <w:t xml:space="preserve">arlamentu; víta, že projekty v oblasti umelej inteligencie sú už v štádiu prípravy na rok 2025; </w:t>
      </w:r>
    </w:p>
    <w:p w:rsidR="0074130F" w:rsidRPr="000062BB" w:rsidRDefault="0074130F" w:rsidP="0074130F">
      <w:pPr>
        <w:pStyle w:val="action0"/>
        <w:spacing w:after="200"/>
        <w:ind w:left="567" w:hanging="567"/>
      </w:pPr>
      <w:r w:rsidRPr="000062BB">
        <w:t>22.</w:t>
      </w:r>
      <w:r w:rsidRPr="000062BB">
        <w:tab/>
        <w:t>podporuje oznámenie generálneho tajomníka vo Výbore pre rozpočet o znížení administratívnej záťaže a byrokracie pre poslancov a ich kancelárie a zároveň urýchlení digitalizácie procesov v rámci administratívy; zdôrazňuje, že investície do digitalizácie prinášajú návratnosť investícií v strednodobom horizonte a nemali by sa odkladať z dôvodu krátkodobých úspor nákladov;</w:t>
      </w:r>
    </w:p>
    <w:p w:rsidR="0074130F" w:rsidRPr="000062BB" w:rsidRDefault="0074130F" w:rsidP="0082671D">
      <w:pPr>
        <w:pStyle w:val="action0"/>
        <w:spacing w:after="200"/>
        <w:ind w:left="567" w:hanging="567"/>
      </w:pPr>
      <w:r w:rsidRPr="000062BB">
        <w:t>23.</w:t>
      </w:r>
      <w:r w:rsidRPr="000062BB">
        <w:tab/>
        <w:t xml:space="preserve">vyzýva </w:t>
      </w:r>
      <w:r w:rsidR="00004242" w:rsidRPr="000062BB">
        <w:t>Európsky p</w:t>
      </w:r>
      <w:r w:rsidRPr="000062BB">
        <w:t xml:space="preserve">arlament, aby pokračoval v pravidelnom posudzovaní organizácie svojich personálnych potrieb s cieľom optimalizovať rozdelenie zamestnancov v rámci sekretariátu </w:t>
      </w:r>
      <w:r w:rsidR="00004242" w:rsidRPr="000062BB">
        <w:t>Európskeho p</w:t>
      </w:r>
      <w:r w:rsidRPr="000062BB">
        <w:t xml:space="preserve">arlamentu, a to najmä prerozdelením </w:t>
      </w:r>
      <w:r w:rsidRPr="000062BB">
        <w:rPr>
          <w:rStyle w:val="doceo-font-family-base"/>
          <w:shd w:val="clear" w:color="auto" w:fill="FFFFFF"/>
        </w:rPr>
        <w:t>neobsadených</w:t>
      </w:r>
      <w:r w:rsidRPr="000062BB">
        <w:t xml:space="preserve"> pracovných miest medzi útvary s cieľom čo najviac zachovať stály počet zamestnancov; vyzýva generálneho tajomníka, aby posúdil riziká spojené s využívaním čoraz väčšieho počtu zmluvných zamestnancov vrátane nebezpečenstva vytvorenia dvojúrovňovej štruktúry zamestnancov v</w:t>
      </w:r>
      <w:r w:rsidR="00004242" w:rsidRPr="000062BB">
        <w:t> Európskom p</w:t>
      </w:r>
      <w:r w:rsidRPr="000062BB">
        <w:t>arlamente; trvá na tom, že kľúčové trvalé pracovné pozície a úlohy by mali vykonávať stáli zamestnanci;</w:t>
      </w:r>
    </w:p>
    <w:p w:rsidR="0074130F" w:rsidRPr="000062BB" w:rsidRDefault="0074130F" w:rsidP="0074130F">
      <w:pPr>
        <w:pStyle w:val="action0"/>
        <w:spacing w:after="200"/>
        <w:ind w:left="567" w:hanging="567"/>
      </w:pPr>
      <w:r w:rsidRPr="000062BB">
        <w:t>24.</w:t>
      </w:r>
      <w:r w:rsidRPr="000062BB">
        <w:tab/>
        <w:t xml:space="preserve">zdôrazňuje, že zabezpečenie spravodlivej geografickej rovnováhy je dôležitou súčasťou vytvorenia skutočne európskej verejnej služby; poznamenáva, že </w:t>
      </w:r>
      <w:r w:rsidR="00004242" w:rsidRPr="000062BB">
        <w:t>Európsky p</w:t>
      </w:r>
      <w:r w:rsidRPr="000062BB">
        <w:t>arlament v priebehu rokov prijal v tejto súvislosti niekoľko opatrení; poznamenáva, že stále je čo zlepšovať; konštatuje, že Predsedníctvo vytvorilo právny rámec pre organizovanie výberových konaní podľa štátnej príslušnosti a rozhodlo sa zorganizovať prvé z týchto výberových konaní; zdôrazňuje, že výberové konania by mali byť vždy založené na kvalitách uchádzačov;</w:t>
      </w:r>
    </w:p>
    <w:p w:rsidR="0074130F" w:rsidRPr="000062BB" w:rsidRDefault="0074130F" w:rsidP="0082671D">
      <w:pPr>
        <w:pStyle w:val="action0"/>
        <w:spacing w:after="200"/>
        <w:ind w:left="567" w:hanging="567"/>
      </w:pPr>
      <w:r w:rsidRPr="000062BB">
        <w:t>25.</w:t>
      </w:r>
      <w:r w:rsidRPr="000062BB">
        <w:tab/>
        <w:t xml:space="preserve">berie na </w:t>
      </w:r>
      <w:r w:rsidRPr="000062BB">
        <w:rPr>
          <w:rStyle w:val="doceo-font-family-base"/>
          <w:shd w:val="clear" w:color="auto" w:fill="FFFFFF"/>
        </w:rPr>
        <w:t>vedomie</w:t>
      </w:r>
      <w:r w:rsidRPr="000062BB">
        <w:t xml:space="preserve"> už zavedený postup pre žiadosti používateľov z parlamentných orgánov o tlmočenie do medzinárodného posunkového jazyka na schôdzi; žiada generálneho tajomníka, aby pokračoval v skúmaní ďalších možností, ako sú nástroje prevodu reči na text a strojový preklad, pokiaľ ide o zásadu rovnakého prístupu pre všetkých občanov;</w:t>
      </w:r>
    </w:p>
    <w:p w:rsidR="0074130F" w:rsidRPr="000062BB" w:rsidRDefault="0074130F" w:rsidP="0074130F">
      <w:pPr>
        <w:pStyle w:val="NormalHanging12a"/>
        <w:rPr>
          <w:szCs w:val="24"/>
        </w:rPr>
      </w:pPr>
      <w:r w:rsidRPr="000062BB">
        <w:t>26.</w:t>
      </w:r>
      <w:r w:rsidRPr="000062BB">
        <w:tab/>
        <w:t>opakuje svoju žiadosť prijatú na plenárnej úrovni pri viacerých príležitostiach, aby Predsedníctvo začalo pracovať na revízii rokovacieho poriadku, ktorá poslancom umožní uplatňovať ich právo hlasovať na diaľku počas materskej alebo otcovskej dovolenky, počas dlhodobej choroby alebo v prípadoch vyššej moci, a to s využitím skúseností získaných počas pandémie, pokiaľ ide o technické aspekty tohto spôsobu hlasovania;</w:t>
      </w:r>
    </w:p>
    <w:p w:rsidR="0074130F" w:rsidRPr="000062BB" w:rsidRDefault="0074130F" w:rsidP="0074130F">
      <w:pPr>
        <w:pStyle w:val="NormalHanging12a"/>
      </w:pPr>
      <w:r w:rsidRPr="000062BB">
        <w:t>27.</w:t>
      </w:r>
      <w:r w:rsidRPr="000062BB">
        <w:tab/>
        <w:t>opakuje svoju výzvu Predsedníctvu, aby zaručilo, že všetky reštaurácie v</w:t>
      </w:r>
      <w:r w:rsidR="00004242" w:rsidRPr="000062BB">
        <w:t> Európskom p</w:t>
      </w:r>
      <w:r w:rsidRPr="000062BB">
        <w:t>arlamente budú dodržiavať normy kvality, efektívnosti a cenovej dostupnosti, a aby opätovne zaviedlo kontrolu prístupu pri vchodoch do samoobslužnej reštaurácie počas špičky; víta vykonávanie kontrol prístupu pri vchode do samoobslužnej reštaurácie v budove WEISS v Štrasburgu počas plenárnych schôdzí;</w:t>
      </w:r>
    </w:p>
    <w:p w:rsidR="00AE23DF" w:rsidRPr="000062BB" w:rsidRDefault="00AE23DF" w:rsidP="0074130F">
      <w:pPr>
        <w:pStyle w:val="NormalHanging12a"/>
        <w:rPr>
          <w:szCs w:val="24"/>
        </w:rPr>
      </w:pPr>
      <w:r w:rsidRPr="000062BB">
        <w:rPr>
          <w:szCs w:val="24"/>
        </w:rPr>
        <w:t>28.</w:t>
      </w:r>
      <w:r w:rsidRPr="000062BB">
        <w:rPr>
          <w:szCs w:val="24"/>
        </w:rPr>
        <w:tab/>
      </w:r>
      <w:r w:rsidRPr="000062BB">
        <w:t xml:space="preserve">požaduje, aby sa prijal skutočný záväzok k uplatňovaniu zásady viacjazyčnosti; </w:t>
      </w:r>
    </w:p>
    <w:p w:rsidR="0074130F" w:rsidRPr="000062BB" w:rsidRDefault="00AE23DF" w:rsidP="0074130F">
      <w:pPr>
        <w:pStyle w:val="action0"/>
        <w:spacing w:after="200"/>
        <w:ind w:left="567" w:hanging="567"/>
      </w:pPr>
      <w:r w:rsidRPr="000062BB">
        <w:rPr>
          <w:rStyle w:val="doceo-font-family-base"/>
          <w:shd w:val="clear" w:color="auto" w:fill="FFFFFF"/>
        </w:rPr>
        <w:t>29</w:t>
      </w:r>
      <w:r w:rsidR="0074130F" w:rsidRPr="000062BB">
        <w:rPr>
          <w:rStyle w:val="doceo-font-family-base"/>
          <w:shd w:val="clear" w:color="auto" w:fill="FFFFFF"/>
        </w:rPr>
        <w:t>.</w:t>
      </w:r>
      <w:r w:rsidR="0074130F" w:rsidRPr="000062BB">
        <w:rPr>
          <w:rStyle w:val="doceo-font-family-base"/>
          <w:shd w:val="clear" w:color="auto" w:fill="FFFFFF"/>
        </w:rPr>
        <w:tab/>
        <w:t xml:space="preserve">opätovne vyzýva Konferenciu predsedov a Predsedníctvo, aby zrevidovali vykonávacie ustanovenia upravujúce činnosť delegácií a služobné cesty mimo </w:t>
      </w:r>
      <w:r w:rsidR="00225345" w:rsidRPr="000062BB">
        <w:rPr>
          <w:rStyle w:val="doceo-font-family-base"/>
          <w:shd w:val="clear" w:color="auto" w:fill="FFFFFF"/>
        </w:rPr>
        <w:t>E</w:t>
      </w:r>
      <w:r w:rsidR="0074130F" w:rsidRPr="000062BB">
        <w:rPr>
          <w:rStyle w:val="doceo-font-family-base"/>
          <w:shd w:val="clear" w:color="auto" w:fill="FFFFFF"/>
        </w:rPr>
        <w:t xml:space="preserve">Ú; zdôrazňuje, že pri takejto revízii by sa mala zvážiť možnosť, aby akreditovaní asistenti poslancov mohli za určitých podmienok sprevádzať poslancov v oficiálnych delegáciách </w:t>
      </w:r>
      <w:r w:rsidR="00004242" w:rsidRPr="000062BB">
        <w:rPr>
          <w:rStyle w:val="doceo-font-family-base"/>
          <w:shd w:val="clear" w:color="auto" w:fill="FFFFFF"/>
        </w:rPr>
        <w:t xml:space="preserve">Európskeho </w:t>
      </w:r>
      <w:r w:rsidR="00004242" w:rsidRPr="000062BB">
        <w:rPr>
          <w:rStyle w:val="doceo-font-family-base"/>
          <w:shd w:val="clear" w:color="auto" w:fill="FFFFFF"/>
        </w:rPr>
        <w:lastRenderedPageBreak/>
        <w:t>p</w:t>
      </w:r>
      <w:r w:rsidR="0074130F" w:rsidRPr="000062BB">
        <w:rPr>
          <w:rStyle w:val="doceo-font-family-base"/>
          <w:shd w:val="clear" w:color="auto" w:fill="FFFFFF"/>
        </w:rPr>
        <w:t>arlamentu a na služobných cestách;</w:t>
      </w:r>
      <w:r w:rsidR="0074130F" w:rsidRPr="000062BB">
        <w:t xml:space="preserve"> zdôrazňuje, že táto zmena by neviedla k žiadnej zmene finančného krytia a bola by rozpočtovo neutrálna;</w:t>
      </w:r>
    </w:p>
    <w:p w:rsidR="0074130F" w:rsidRPr="000062BB" w:rsidRDefault="00AE23DF" w:rsidP="0074130F">
      <w:pPr>
        <w:pStyle w:val="action0"/>
        <w:spacing w:after="200"/>
        <w:ind w:left="567" w:hanging="567"/>
        <w:rPr>
          <w:rFonts w:ascii="TimesNewRomanPSMT" w:hAnsi="TimesNewRomanPSMT" w:cs="TimesNewRomanPSMT"/>
        </w:rPr>
      </w:pPr>
      <w:r w:rsidRPr="000062BB">
        <w:rPr>
          <w:rFonts w:ascii="TimesNewRomanPSMT" w:hAnsi="TimesNewRomanPSMT"/>
        </w:rPr>
        <w:t>30</w:t>
      </w:r>
      <w:r w:rsidR="0074130F" w:rsidRPr="000062BB">
        <w:rPr>
          <w:rFonts w:ascii="TimesNewRomanPSMT" w:hAnsi="TimesNewRomanPSMT"/>
        </w:rPr>
        <w:t>.</w:t>
      </w:r>
      <w:r w:rsidR="0074130F" w:rsidRPr="000062BB">
        <w:rPr>
          <w:rFonts w:ascii="TimesNewRomanPSMT" w:hAnsi="TimesNewRomanPSMT"/>
        </w:rPr>
        <w:tab/>
      </w:r>
      <w:r w:rsidR="0074130F" w:rsidRPr="000062BB">
        <w:t>očakáva, že požiadavky, ktoré odhlasovalo plénum, sa budú vykonávať ako vysoká priorita;</w:t>
      </w:r>
    </w:p>
    <w:p w:rsidR="0074130F" w:rsidRPr="000062BB" w:rsidRDefault="0074130F" w:rsidP="0074130F">
      <w:pPr>
        <w:widowControl/>
        <w:tabs>
          <w:tab w:val="left" w:pos="567"/>
        </w:tabs>
        <w:spacing w:after="240"/>
        <w:ind w:left="567" w:hanging="567"/>
        <w:jc w:val="center"/>
        <w:rPr>
          <w:szCs w:val="24"/>
        </w:rPr>
      </w:pPr>
      <w:r w:rsidRPr="000062BB">
        <w:t>°</w:t>
      </w:r>
    </w:p>
    <w:p w:rsidR="0074130F" w:rsidRPr="000062BB" w:rsidRDefault="0074130F" w:rsidP="0074130F">
      <w:pPr>
        <w:widowControl/>
        <w:tabs>
          <w:tab w:val="left" w:pos="567"/>
        </w:tabs>
        <w:spacing w:after="240"/>
        <w:ind w:left="567" w:hanging="567"/>
        <w:jc w:val="center"/>
        <w:rPr>
          <w:szCs w:val="24"/>
        </w:rPr>
      </w:pPr>
      <w:r w:rsidRPr="000062BB">
        <w:t>°         °</w:t>
      </w:r>
    </w:p>
    <w:p w:rsidR="0074130F" w:rsidRPr="000062BB" w:rsidRDefault="00AE23DF" w:rsidP="0074130F">
      <w:pPr>
        <w:pStyle w:val="action0"/>
        <w:spacing w:before="200" w:after="200"/>
        <w:ind w:left="567" w:hanging="567"/>
      </w:pPr>
      <w:r w:rsidRPr="000062BB">
        <w:t>31</w:t>
      </w:r>
      <w:r w:rsidR="0074130F" w:rsidRPr="000062BB">
        <w:t>.</w:t>
      </w:r>
      <w:r w:rsidR="0074130F" w:rsidRPr="000062BB">
        <w:tab/>
        <w:t>schvaľuje odhad rozpočtu na rozpočtový rok 2025;</w:t>
      </w:r>
    </w:p>
    <w:p w:rsidR="0074130F" w:rsidRPr="000062BB" w:rsidRDefault="00AE23DF" w:rsidP="0082671D">
      <w:pPr>
        <w:pStyle w:val="action0"/>
        <w:spacing w:before="200" w:after="200"/>
        <w:ind w:left="567" w:hanging="567"/>
      </w:pPr>
      <w:r w:rsidRPr="000062BB">
        <w:t>32</w:t>
      </w:r>
      <w:r w:rsidR="0074130F" w:rsidRPr="000062BB">
        <w:t>.</w:t>
      </w:r>
      <w:r w:rsidR="0074130F" w:rsidRPr="000062BB">
        <w:tab/>
        <w:t xml:space="preserve">poveruje svoju predsedníčku, aby postúpila toto uznesenie a odhad rozpočtu </w:t>
      </w:r>
      <w:r w:rsidR="00AD33F0" w:rsidRPr="000062BB">
        <w:t>Rade a Komisii.</w:t>
      </w:r>
    </w:p>
    <w:sectPr w:rsidR="0074130F" w:rsidRPr="000062BB" w:rsidSect="00AD33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ACB" w:rsidRPr="00AD33F0" w:rsidRDefault="001B6ACB">
      <w:r w:rsidRPr="00AD33F0">
        <w:separator/>
      </w:r>
    </w:p>
  </w:endnote>
  <w:endnote w:type="continuationSeparator" w:id="0">
    <w:p w:rsidR="001B6ACB" w:rsidRPr="00AD33F0" w:rsidRDefault="001B6ACB">
      <w:r w:rsidRPr="00AD33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33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33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33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ACB" w:rsidRPr="00AD33F0" w:rsidRDefault="001B6ACB">
      <w:r w:rsidRPr="00AD33F0">
        <w:separator/>
      </w:r>
    </w:p>
  </w:footnote>
  <w:footnote w:type="continuationSeparator" w:id="0">
    <w:p w:rsidR="001B6ACB" w:rsidRPr="00AD33F0" w:rsidRDefault="001B6ACB">
      <w:r w:rsidRPr="00AD33F0">
        <w:continuationSeparator/>
      </w:r>
    </w:p>
  </w:footnote>
  <w:footnote w:id="1">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Ú. v. EÚ L 193, 30.7.2018, s. 1.</w:t>
      </w:r>
    </w:p>
  </w:footnote>
  <w:footnote w:id="2">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Ú. v. EÚ L 433 I, 22.12.2020, s. 11.</w:t>
      </w:r>
    </w:p>
  </w:footnote>
  <w:footnote w:id="3">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Ú. v. EÚ C 444 I, 22.12.2020, s. 4.</w:t>
      </w:r>
    </w:p>
  </w:footnote>
  <w:footnote w:id="4">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Prijaté texty, P9_TA(2020)0357.</w:t>
      </w:r>
    </w:p>
  </w:footnote>
  <w:footnote w:id="5">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Ú. v. EÚ L 433 I, 22.12.2020, s. 28.</w:t>
      </w:r>
    </w:p>
  </w:footnote>
  <w:footnote w:id="6">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Prijaté texty, P9_TA(2023)0335.</w:t>
      </w:r>
    </w:p>
  </w:footnote>
  <w:footnote w:id="7">
    <w:p w:rsidR="0074130F" w:rsidRPr="00AD33F0" w:rsidRDefault="0074130F" w:rsidP="00AD33F0">
      <w:pPr>
        <w:pStyle w:val="Action"/>
        <w:tabs>
          <w:tab w:val="clear" w:pos="357"/>
        </w:tabs>
        <w:spacing w:after="0"/>
        <w:ind w:left="567" w:hanging="567"/>
        <w:outlineLvl w:val="0"/>
      </w:pPr>
      <w:r w:rsidRPr="00AD33F0">
        <w:rPr>
          <w:rStyle w:val="FootnoteReference"/>
        </w:rPr>
        <w:footnoteRef/>
      </w:r>
      <w:r w:rsidR="00AD33F0" w:rsidRPr="00AD33F0">
        <w:t xml:space="preserve"> </w:t>
      </w:r>
      <w:r w:rsidR="00AD33F0" w:rsidRPr="00AD33F0">
        <w:tab/>
      </w:r>
      <w:r w:rsidRPr="00AD33F0">
        <w:t>Ú. v. EÚ C 177, 17.5.2023, s. 115.</w:t>
      </w:r>
    </w:p>
  </w:footnote>
  <w:footnote w:id="8">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rStyle w:val="Emphasis"/>
          <w:color w:val="333333"/>
          <w:sz w:val="24"/>
          <w:shd w:val="clear" w:color="auto" w:fill="FFFFFF"/>
          <w:lang w:val="sk-SK"/>
        </w:rPr>
        <w:t xml:space="preserve"> </w:t>
      </w:r>
      <w:r w:rsidR="00AD33F0" w:rsidRPr="00AD33F0">
        <w:rPr>
          <w:rStyle w:val="Emphasis"/>
          <w:color w:val="333333"/>
          <w:sz w:val="24"/>
          <w:shd w:val="clear" w:color="auto" w:fill="FFFFFF"/>
          <w:lang w:val="sk-SK"/>
        </w:rPr>
        <w:tab/>
      </w:r>
      <w:r w:rsidRPr="0082671D">
        <w:rPr>
          <w:rStyle w:val="Emphasis"/>
          <w:i w:val="0"/>
          <w:color w:val="333333"/>
          <w:sz w:val="24"/>
          <w:shd w:val="clear" w:color="auto" w:fill="FFFFFF"/>
          <w:lang w:val="sk-SK"/>
        </w:rPr>
        <w:t xml:space="preserve">Ú. v. </w:t>
      </w:r>
      <w:r w:rsidRPr="0082671D">
        <w:rPr>
          <w:rStyle w:val="Emphasis"/>
          <w:i w:val="0"/>
          <w:color w:val="333333"/>
          <w:sz w:val="24"/>
          <w:shd w:val="clear" w:color="auto" w:fill="FFFFFF"/>
          <w:lang w:val="sk-SK"/>
        </w:rPr>
        <w:t xml:space="preserve">EÚ L, 2024/765, 29.2.2024, ELI: </w:t>
      </w:r>
      <w:hyperlink r:id="rId1" w:history="1">
        <w:r w:rsidRPr="004B1040">
          <w:rPr>
            <w:rStyle w:val="Hyperlink"/>
            <w:sz w:val="24"/>
            <w:shd w:val="clear" w:color="auto" w:fill="FFFFFF"/>
            <w:lang w:val="sk-SK"/>
          </w:rPr>
          <w:t>http://data.europa.eu/eli/reg/2024/765/oj</w:t>
        </w:r>
      </w:hyperlink>
      <w:r w:rsidRPr="00AD33F0">
        <w:rPr>
          <w:rStyle w:val="Emphasis"/>
          <w:color w:val="333333"/>
          <w:sz w:val="24"/>
          <w:shd w:val="clear" w:color="auto" w:fill="FFFFFF"/>
          <w:lang w:val="sk-SK"/>
        </w:rPr>
        <w:t>.</w:t>
      </w:r>
    </w:p>
  </w:footnote>
  <w:footnote w:id="9">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COM(2022)0223.</w:t>
      </w:r>
    </w:p>
  </w:footnote>
  <w:footnote w:id="10">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Ú. v. EÚ L 287, 29.10.2013, s. 15.</w:t>
      </w:r>
    </w:p>
  </w:footnote>
  <w:footnote w:id="11">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Prijaté texty, P9_TA(2023)0119.</w:t>
      </w:r>
    </w:p>
  </w:footnote>
  <w:footnote w:id="12">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Prijaté texty, P9_TA(2023)0367.</w:t>
      </w:r>
    </w:p>
  </w:footnote>
  <w:footnote w:id="13">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Ú. v. EÚ L 207, 22.2.2024.</w:t>
      </w:r>
    </w:p>
  </w:footnote>
  <w:footnote w:id="14">
    <w:p w:rsidR="0074130F" w:rsidRPr="00AD33F0" w:rsidRDefault="0074130F" w:rsidP="00AD33F0">
      <w:pPr>
        <w:pStyle w:val="FootnoteText"/>
        <w:ind w:left="567" w:hanging="567"/>
        <w:rPr>
          <w:sz w:val="24"/>
          <w:lang w:val="sk-SK"/>
        </w:rPr>
      </w:pPr>
      <w:r w:rsidRPr="00AD33F0">
        <w:rPr>
          <w:rStyle w:val="FootnoteReference"/>
          <w:sz w:val="24"/>
          <w:lang w:val="sk-SK"/>
        </w:rPr>
        <w:footnoteRef/>
      </w:r>
      <w:r w:rsidR="00AD33F0" w:rsidRPr="00AD33F0">
        <w:rPr>
          <w:sz w:val="24"/>
          <w:lang w:val="sk-SK"/>
        </w:rPr>
        <w:t xml:space="preserve"> </w:t>
      </w:r>
      <w:r w:rsidR="00AD33F0" w:rsidRPr="00AD33F0">
        <w:rPr>
          <w:sz w:val="24"/>
          <w:lang w:val="sk-SK"/>
        </w:rPr>
        <w:tab/>
      </w:r>
      <w:r w:rsidRPr="00AD33F0">
        <w:rPr>
          <w:sz w:val="24"/>
          <w:lang w:val="sk-SK"/>
        </w:rPr>
        <w:t>Prijaté texty, P9_TA(2022)0366.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33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33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D33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3E8"/>
    <w:multiLevelType w:val="multilevel"/>
    <w:tmpl w:val="3B9ACA00"/>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700"/>
        </w:tabs>
        <w:ind w:left="1700" w:hanging="1700"/>
      </w:pPr>
    </w:lvl>
    <w:lvl w:ilvl="5">
      <w:start w:val="1"/>
      <w:numFmt w:val="decimal"/>
      <w:lvlText w:val="%1.%2.%3.%4.%5.%6."/>
      <w:lvlJc w:val="left"/>
      <w:pPr>
        <w:tabs>
          <w:tab w:val="num" w:pos="1700"/>
        </w:tabs>
        <w:ind w:left="1700" w:hanging="1700"/>
      </w:pPr>
    </w:lvl>
    <w:lvl w:ilvl="6">
      <w:start w:val="1"/>
      <w:numFmt w:val="decimal"/>
      <w:lvlText w:val="%1.%2.%3.%4.%5.%6.%7."/>
      <w:lvlJc w:val="left"/>
      <w:pPr>
        <w:tabs>
          <w:tab w:val="num" w:pos="1700"/>
        </w:tabs>
        <w:ind w:left="1700" w:hanging="1700"/>
      </w:pPr>
    </w:lvl>
    <w:lvl w:ilvl="7">
      <w:start w:val="1"/>
      <w:numFmt w:val="decimal"/>
      <w:lvlText w:val="%1.%2.%3.%4.%5.%6.%7.%8."/>
      <w:lvlJc w:val="left"/>
      <w:pPr>
        <w:tabs>
          <w:tab w:val="num" w:pos="1700"/>
        </w:tabs>
        <w:ind w:left="1700" w:hanging="1700"/>
      </w:pPr>
    </w:lvl>
    <w:lvl w:ilvl="8">
      <w:start w:val="1"/>
      <w:numFmt w:val="decimal"/>
      <w:lvlText w:val="%1.%2.%3.%4.%5.%6.%7.%8.%9."/>
      <w:lvlJc w:val="left"/>
      <w:pPr>
        <w:tabs>
          <w:tab w:val="num" w:pos="1700"/>
        </w:tabs>
        <w:ind w:left="1700" w:hanging="1700"/>
      </w:pPr>
    </w:lvl>
  </w:abstractNum>
  <w:abstractNum w:abstractNumId="10" w15:restartNumberingAfterBreak="0">
    <w:nsid w:val="000003F2"/>
    <w:multiLevelType w:val="singleLevel"/>
    <w:tmpl w:val="4190AB00"/>
    <w:name w:val="Tiret 0"/>
    <w:lvl w:ilvl="0">
      <w:start w:val="1"/>
      <w:numFmt w:val="bullet"/>
      <w:lvlText w:val="–"/>
      <w:lvlJc w:val="left"/>
      <w:pPr>
        <w:tabs>
          <w:tab w:val="num" w:pos="850"/>
        </w:tabs>
        <w:ind w:left="850" w:hanging="850"/>
      </w:pPr>
    </w:lvl>
  </w:abstractNum>
  <w:abstractNum w:abstractNumId="11" w15:restartNumberingAfterBreak="0">
    <w:nsid w:val="000003F3"/>
    <w:multiLevelType w:val="singleLevel"/>
    <w:tmpl w:val="4190AB01"/>
    <w:name w:val="Tiret 1"/>
    <w:lvl w:ilvl="0">
      <w:start w:val="1"/>
      <w:numFmt w:val="bullet"/>
      <w:lvlText w:val="–"/>
      <w:lvlJc w:val="left"/>
      <w:pPr>
        <w:tabs>
          <w:tab w:val="num" w:pos="1417"/>
        </w:tabs>
        <w:ind w:left="1417" w:hanging="567"/>
      </w:pPr>
    </w:lvl>
  </w:abstractNum>
  <w:abstractNum w:abstractNumId="12" w15:restartNumberingAfterBreak="0">
    <w:nsid w:val="000003F4"/>
    <w:multiLevelType w:val="singleLevel"/>
    <w:tmpl w:val="4190AB02"/>
    <w:name w:val="Tiret 2"/>
    <w:lvl w:ilvl="0">
      <w:start w:val="1"/>
      <w:numFmt w:val="bullet"/>
      <w:lvlText w:val="–"/>
      <w:lvlJc w:val="left"/>
      <w:pPr>
        <w:tabs>
          <w:tab w:val="num" w:pos="1984"/>
        </w:tabs>
        <w:ind w:left="1984" w:hanging="567"/>
      </w:pPr>
    </w:lvl>
  </w:abstractNum>
  <w:abstractNum w:abstractNumId="13" w15:restartNumberingAfterBreak="0">
    <w:nsid w:val="000003F5"/>
    <w:multiLevelType w:val="singleLevel"/>
    <w:tmpl w:val="4190AB03"/>
    <w:name w:val="Tiret 3"/>
    <w:lvl w:ilvl="0">
      <w:start w:val="1"/>
      <w:numFmt w:val="bullet"/>
      <w:lvlText w:val="–"/>
      <w:lvlJc w:val="left"/>
      <w:pPr>
        <w:tabs>
          <w:tab w:val="num" w:pos="2551"/>
        </w:tabs>
        <w:ind w:left="2551" w:hanging="567"/>
      </w:pPr>
    </w:lvl>
  </w:abstractNum>
  <w:abstractNum w:abstractNumId="14" w15:restartNumberingAfterBreak="0">
    <w:nsid w:val="000003F6"/>
    <w:multiLevelType w:val="singleLevel"/>
    <w:tmpl w:val="4190AB04"/>
    <w:name w:val="Tiret 4"/>
    <w:lvl w:ilvl="0">
      <w:start w:val="1"/>
      <w:numFmt w:val="bullet"/>
      <w:lvlText w:val="–"/>
      <w:lvlJc w:val="left"/>
      <w:pPr>
        <w:tabs>
          <w:tab w:val="num" w:pos="3118"/>
        </w:tabs>
        <w:ind w:left="3118" w:hanging="567"/>
      </w:pPr>
    </w:lvl>
  </w:abstractNum>
  <w:abstractNum w:abstractNumId="15"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3"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4"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5"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6"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7"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9" w15:restartNumberingAfterBreak="0">
    <w:nsid w:val="1B59677E"/>
    <w:multiLevelType w:val="hybridMultilevel"/>
    <w:tmpl w:val="4374264C"/>
    <w:lvl w:ilvl="0" w:tplc="E7B81872">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0" w15:restartNumberingAfterBreak="0">
    <w:nsid w:val="335C0D9D"/>
    <w:multiLevelType w:val="hybridMultilevel"/>
    <w:tmpl w:val="DDB89A0A"/>
    <w:lvl w:ilvl="0" w:tplc="04090001">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2" w15:restartNumberingAfterBreak="0">
    <w:nsid w:val="3B15534A"/>
    <w:multiLevelType w:val="hybridMultilevel"/>
    <w:tmpl w:val="680E4B70"/>
    <w:lvl w:ilvl="0" w:tplc="04090001">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5B5B7323"/>
    <w:multiLevelType w:val="hybridMultilevel"/>
    <w:tmpl w:val="C4EC386E"/>
    <w:lvl w:ilvl="0" w:tplc="04090001">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8"/>
  </w:num>
  <w:num w:numId="2">
    <w:abstractNumId w:val="41"/>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15"/>
  </w:num>
  <w:num w:numId="13">
    <w:abstractNumId w:val="16"/>
  </w:num>
  <w:num w:numId="14">
    <w:abstractNumId w:val="17"/>
  </w:num>
  <w:num w:numId="15">
    <w:abstractNumId w:val="18"/>
  </w:num>
  <w:num w:numId="16">
    <w:abstractNumId w:val="19"/>
  </w:num>
  <w:num w:numId="17">
    <w:abstractNumId w:val="20"/>
  </w:num>
  <w:num w:numId="18">
    <w:abstractNumId w:val="21"/>
  </w:num>
  <w:num w:numId="19">
    <w:abstractNumId w:val="22"/>
  </w:num>
  <w:num w:numId="20">
    <w:abstractNumId w:val="23"/>
  </w:num>
  <w:num w:numId="21">
    <w:abstractNumId w:val="24"/>
  </w:num>
  <w:num w:numId="22">
    <w:abstractNumId w:val="25"/>
  </w:num>
  <w:num w:numId="23">
    <w:abstractNumId w:val="26"/>
  </w:num>
  <w:num w:numId="24">
    <w:abstractNumId w:val="27"/>
  </w:num>
  <w:num w:numId="25">
    <w:abstractNumId w:val="28"/>
  </w:num>
  <w:num w:numId="26">
    <w:abstractNumId w:val="29"/>
  </w:num>
  <w:num w:numId="27">
    <w:abstractNumId w:val="30"/>
  </w:num>
  <w:num w:numId="28">
    <w:abstractNumId w:val="31"/>
  </w:num>
  <w:num w:numId="29">
    <w:abstractNumId w:val="32"/>
  </w:num>
  <w:num w:numId="30">
    <w:abstractNumId w:val="33"/>
  </w:num>
  <w:num w:numId="31">
    <w:abstractNumId w:val="34"/>
  </w:num>
  <w:num w:numId="32">
    <w:abstractNumId w:val="35"/>
  </w:num>
  <w:num w:numId="33">
    <w:abstractNumId w:val="36"/>
  </w:num>
  <w:num w:numId="34">
    <w:abstractNumId w:val="37"/>
  </w:num>
  <w:num w:numId="35">
    <w:abstractNumId w:val="39"/>
  </w:num>
  <w:num w:numId="36">
    <w:abstractNumId w:val="40"/>
  </w:num>
  <w:num w:numId="37">
    <w:abstractNumId w:val="43"/>
  </w:num>
  <w:num w:numId="38">
    <w:abstractNumId w:val="4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SK"/>
    <w:docVar w:name="dvnumam" w:val="0"/>
    <w:docVar w:name="dvpe" w:val="759.633"/>
    <w:docVar w:name="dvrapporteur" w:val="Spravodajkyňa: "/>
    <w:docVar w:name="dvtitre" w:val="Uznesenie Európskeho parlamentu z 25. apríla 2024 o odhade príjmov a výdavkov Európskeho parlamentu na rozpočtový rok 2025(2023/2221(BUI))"/>
  </w:docVars>
  <w:rsids>
    <w:rsidRoot w:val="001B6ACB"/>
    <w:rsid w:val="00002272"/>
    <w:rsid w:val="00004242"/>
    <w:rsid w:val="000062BB"/>
    <w:rsid w:val="00064002"/>
    <w:rsid w:val="000677B9"/>
    <w:rsid w:val="000831BA"/>
    <w:rsid w:val="000A42CC"/>
    <w:rsid w:val="000E7DD9"/>
    <w:rsid w:val="0010095E"/>
    <w:rsid w:val="00125B37"/>
    <w:rsid w:val="001360C6"/>
    <w:rsid w:val="00187494"/>
    <w:rsid w:val="001B6ACB"/>
    <w:rsid w:val="001F32AE"/>
    <w:rsid w:val="00225345"/>
    <w:rsid w:val="002767FF"/>
    <w:rsid w:val="002B18FE"/>
    <w:rsid w:val="002B5493"/>
    <w:rsid w:val="00343214"/>
    <w:rsid w:val="00361C00"/>
    <w:rsid w:val="00395FA1"/>
    <w:rsid w:val="003E15D4"/>
    <w:rsid w:val="003E7565"/>
    <w:rsid w:val="00411CCE"/>
    <w:rsid w:val="0041666E"/>
    <w:rsid w:val="00421060"/>
    <w:rsid w:val="00471C19"/>
    <w:rsid w:val="004867E3"/>
    <w:rsid w:val="00494A28"/>
    <w:rsid w:val="004B1040"/>
    <w:rsid w:val="004C0004"/>
    <w:rsid w:val="004C5D52"/>
    <w:rsid w:val="0050519A"/>
    <w:rsid w:val="005072A1"/>
    <w:rsid w:val="00514517"/>
    <w:rsid w:val="00545827"/>
    <w:rsid w:val="00560270"/>
    <w:rsid w:val="005C2568"/>
    <w:rsid w:val="005D7364"/>
    <w:rsid w:val="006037C0"/>
    <w:rsid w:val="006631B6"/>
    <w:rsid w:val="00680577"/>
    <w:rsid w:val="006F74FA"/>
    <w:rsid w:val="00731ADD"/>
    <w:rsid w:val="00734777"/>
    <w:rsid w:val="0074130F"/>
    <w:rsid w:val="00747932"/>
    <w:rsid w:val="00751A4A"/>
    <w:rsid w:val="00756632"/>
    <w:rsid w:val="00762C74"/>
    <w:rsid w:val="00786EC0"/>
    <w:rsid w:val="007D1690"/>
    <w:rsid w:val="007E22AD"/>
    <w:rsid w:val="00817416"/>
    <w:rsid w:val="0082671D"/>
    <w:rsid w:val="00842779"/>
    <w:rsid w:val="00865F67"/>
    <w:rsid w:val="00881A7B"/>
    <w:rsid w:val="008840E5"/>
    <w:rsid w:val="00887B3E"/>
    <w:rsid w:val="008C2AC6"/>
    <w:rsid w:val="008D6ABB"/>
    <w:rsid w:val="00930C23"/>
    <w:rsid w:val="0093193B"/>
    <w:rsid w:val="009509D8"/>
    <w:rsid w:val="00950B64"/>
    <w:rsid w:val="00981893"/>
    <w:rsid w:val="009B41E3"/>
    <w:rsid w:val="00A1687D"/>
    <w:rsid w:val="00A43E52"/>
    <w:rsid w:val="00A4678D"/>
    <w:rsid w:val="00A778C7"/>
    <w:rsid w:val="00AB441E"/>
    <w:rsid w:val="00AB6293"/>
    <w:rsid w:val="00AD33F0"/>
    <w:rsid w:val="00AE0928"/>
    <w:rsid w:val="00AE23DF"/>
    <w:rsid w:val="00AF3B82"/>
    <w:rsid w:val="00B12E95"/>
    <w:rsid w:val="00B22876"/>
    <w:rsid w:val="00B32FC3"/>
    <w:rsid w:val="00B558F0"/>
    <w:rsid w:val="00BD48FE"/>
    <w:rsid w:val="00BD7BD8"/>
    <w:rsid w:val="00BE4E96"/>
    <w:rsid w:val="00BE6ADC"/>
    <w:rsid w:val="00C05BFE"/>
    <w:rsid w:val="00C23CD4"/>
    <w:rsid w:val="00C61C0C"/>
    <w:rsid w:val="00C941CB"/>
    <w:rsid w:val="00CA51FE"/>
    <w:rsid w:val="00CC2357"/>
    <w:rsid w:val="00CF071A"/>
    <w:rsid w:val="00D058B8"/>
    <w:rsid w:val="00D56C11"/>
    <w:rsid w:val="00D834A0"/>
    <w:rsid w:val="00D872DF"/>
    <w:rsid w:val="00D91E21"/>
    <w:rsid w:val="00DA7FCD"/>
    <w:rsid w:val="00E21FE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785FF5-A78C-4AA5-BD7F-8D6AF819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symbol,Footnote,Footnote Reference Number,Footnote Reference_LVL6,Footnote Reference_LVL61,Footnote Reference_LVL62,Footnote Reference_LVL63,Footnote Reference_LVL64,C26 Footnote Number,Footnote Reference_LVL65,16 Poi"/>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4130F"/>
    <w:rPr>
      <w:b/>
      <w:kern w:val="28"/>
      <w:sz w:val="28"/>
      <w:lang w:val="fr-FR" w:eastAsia="fr-FR"/>
    </w:rPr>
  </w:style>
  <w:style w:type="character" w:customStyle="1" w:styleId="Heading2Char">
    <w:name w:val="Heading 2 Char"/>
    <w:basedOn w:val="DefaultParagraphFont"/>
    <w:link w:val="Heading2"/>
    <w:uiPriority w:val="9"/>
    <w:rsid w:val="0074130F"/>
    <w:rPr>
      <w:sz w:val="24"/>
      <w:lang w:val="fr-FR" w:eastAsia="fr-FR"/>
    </w:rPr>
  </w:style>
  <w:style w:type="character" w:customStyle="1" w:styleId="Heading3Char">
    <w:name w:val="Heading 3 Char"/>
    <w:basedOn w:val="DefaultParagraphFont"/>
    <w:link w:val="Heading3"/>
    <w:uiPriority w:val="9"/>
    <w:rsid w:val="0074130F"/>
    <w:rPr>
      <w:rFonts w:ascii="Arial" w:hAnsi="Arial"/>
      <w:sz w:val="24"/>
      <w:lang w:val="fr-FR" w:eastAsia="fr-FR"/>
    </w:rPr>
  </w:style>
  <w:style w:type="character" w:customStyle="1" w:styleId="Heading4Char">
    <w:name w:val="Heading 4 Char"/>
    <w:basedOn w:val="DefaultParagraphFont"/>
    <w:link w:val="Heading4"/>
    <w:uiPriority w:val="9"/>
    <w:rsid w:val="0074130F"/>
    <w:rPr>
      <w:sz w:val="24"/>
      <w:lang w:val="en-US" w:eastAsia="fr-FR"/>
    </w:rPr>
  </w:style>
  <w:style w:type="character" w:customStyle="1" w:styleId="Heading5Char">
    <w:name w:val="Heading 5 Char"/>
    <w:basedOn w:val="DefaultParagraphFont"/>
    <w:link w:val="Heading5"/>
    <w:uiPriority w:val="9"/>
    <w:rsid w:val="0074130F"/>
    <w:rPr>
      <w:sz w:val="24"/>
      <w:lang w:val="en-US" w:eastAsia="fr-FR"/>
    </w:rPr>
  </w:style>
  <w:style w:type="character" w:customStyle="1" w:styleId="Heading6Char">
    <w:name w:val="Heading 6 Char"/>
    <w:basedOn w:val="DefaultParagraphFont"/>
    <w:link w:val="Heading6"/>
    <w:uiPriority w:val="9"/>
    <w:rsid w:val="0074130F"/>
    <w:rPr>
      <w:i/>
      <w:sz w:val="22"/>
      <w:lang w:val="sk-SK"/>
    </w:rPr>
  </w:style>
  <w:style w:type="character" w:customStyle="1" w:styleId="Heading7Char">
    <w:name w:val="Heading 7 Char"/>
    <w:basedOn w:val="DefaultParagraphFont"/>
    <w:link w:val="Heading7"/>
    <w:uiPriority w:val="9"/>
    <w:rsid w:val="0074130F"/>
    <w:rPr>
      <w:rFonts w:ascii="Arial" w:hAnsi="Arial"/>
      <w:sz w:val="24"/>
      <w:lang w:val="sk-SK"/>
    </w:rPr>
  </w:style>
  <w:style w:type="character" w:customStyle="1" w:styleId="Heading8Char">
    <w:name w:val="Heading 8 Char"/>
    <w:basedOn w:val="DefaultParagraphFont"/>
    <w:link w:val="Heading8"/>
    <w:uiPriority w:val="9"/>
    <w:rsid w:val="0074130F"/>
    <w:rPr>
      <w:rFonts w:ascii="Arial" w:hAnsi="Arial"/>
      <w:i/>
      <w:sz w:val="24"/>
      <w:lang w:val="sk-SK"/>
    </w:rPr>
  </w:style>
  <w:style w:type="character" w:customStyle="1" w:styleId="Heading9Char">
    <w:name w:val="Heading 9 Char"/>
    <w:basedOn w:val="DefaultParagraphFont"/>
    <w:link w:val="Heading9"/>
    <w:uiPriority w:val="9"/>
    <w:rsid w:val="0074130F"/>
    <w:rPr>
      <w:rFonts w:ascii="Arial" w:hAnsi="Arial"/>
      <w:b/>
      <w:i/>
      <w:sz w:val="18"/>
      <w:lang w:val="sk-SK"/>
    </w:rPr>
  </w:style>
  <w:style w:type="paragraph" w:styleId="TOCHeading">
    <w:name w:val="TOC Heading"/>
    <w:basedOn w:val="Normal"/>
    <w:next w:val="Normal"/>
    <w:uiPriority w:val="39"/>
    <w:unhideWhenUsed/>
    <w:qFormat/>
    <w:rsid w:val="0074130F"/>
    <w:pPr>
      <w:widowControl/>
      <w:spacing w:after="240"/>
    </w:pPr>
    <w:rPr>
      <w:lang w:val="en-GB"/>
    </w:rPr>
  </w:style>
  <w:style w:type="paragraph" w:customStyle="1" w:styleId="EPFooter2">
    <w:name w:val="EPFooter2"/>
    <w:basedOn w:val="Normal"/>
    <w:next w:val="Normal"/>
    <w:rsid w:val="0074130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4130F"/>
    <w:pPr>
      <w:spacing w:after="240"/>
    </w:pPr>
  </w:style>
  <w:style w:type="paragraph" w:customStyle="1" w:styleId="TOCPage">
    <w:name w:val="TOC Page"/>
    <w:basedOn w:val="Normal"/>
    <w:next w:val="TOC1"/>
    <w:rsid w:val="0074130F"/>
    <w:pPr>
      <w:keepNext/>
      <w:spacing w:after="240"/>
      <w:jc w:val="right"/>
    </w:pPr>
    <w:rPr>
      <w:rFonts w:ascii="Arial" w:hAnsi="Arial"/>
      <w:b/>
    </w:rPr>
  </w:style>
  <w:style w:type="paragraph" w:customStyle="1" w:styleId="PageHeading">
    <w:name w:val="PageHeading"/>
    <w:basedOn w:val="Normal"/>
    <w:rsid w:val="0074130F"/>
    <w:pPr>
      <w:keepNext/>
      <w:spacing w:after="480"/>
      <w:jc w:val="center"/>
    </w:pPr>
    <w:rPr>
      <w:rFonts w:ascii="Arial" w:hAnsi="Arial" w:cs="Arial"/>
      <w:b/>
    </w:rPr>
  </w:style>
  <w:style w:type="paragraph" w:customStyle="1" w:styleId="NormalBold">
    <w:name w:val="NormalBold"/>
    <w:basedOn w:val="Normal"/>
    <w:rsid w:val="0074130F"/>
    <w:rPr>
      <w:b/>
    </w:rPr>
  </w:style>
  <w:style w:type="paragraph" w:customStyle="1" w:styleId="NormalHanging12a">
    <w:name w:val="NormalHanging12a"/>
    <w:basedOn w:val="Normal"/>
    <w:link w:val="NormalHanging12aChar"/>
    <w:rsid w:val="0074130F"/>
    <w:pPr>
      <w:spacing w:after="240"/>
      <w:ind w:left="567" w:hanging="567"/>
    </w:pPr>
  </w:style>
  <w:style w:type="character" w:customStyle="1" w:styleId="NormalHanging12aChar">
    <w:name w:val="NormalHanging12a Char"/>
    <w:basedOn w:val="DefaultParagraphFont"/>
    <w:link w:val="NormalHanging12a"/>
    <w:locked/>
    <w:rsid w:val="0074130F"/>
    <w:rPr>
      <w:sz w:val="24"/>
      <w:lang w:val="sk-SK"/>
    </w:rPr>
  </w:style>
  <w:style w:type="paragraph" w:customStyle="1" w:styleId="CoverNormal24a">
    <w:name w:val="CoverNormal24a"/>
    <w:basedOn w:val="Normal"/>
    <w:rsid w:val="0074130F"/>
    <w:pPr>
      <w:spacing w:after="480"/>
      <w:ind w:left="1417"/>
    </w:pPr>
  </w:style>
  <w:style w:type="paragraph" w:customStyle="1" w:styleId="CoverNormal">
    <w:name w:val="CoverNormal"/>
    <w:basedOn w:val="Normal"/>
    <w:rsid w:val="0074130F"/>
    <w:pPr>
      <w:ind w:left="1418"/>
    </w:pPr>
  </w:style>
  <w:style w:type="paragraph" w:customStyle="1" w:styleId="CoverReference">
    <w:name w:val="CoverReference"/>
    <w:basedOn w:val="Normal"/>
    <w:rsid w:val="0074130F"/>
    <w:pPr>
      <w:spacing w:before="1080"/>
      <w:jc w:val="right"/>
    </w:pPr>
    <w:rPr>
      <w:rFonts w:ascii="Arial" w:hAnsi="Arial" w:cs="Arial"/>
      <w:b/>
    </w:rPr>
  </w:style>
  <w:style w:type="paragraph" w:customStyle="1" w:styleId="CoverDocType24a">
    <w:name w:val="CoverDocType24a"/>
    <w:basedOn w:val="Normal"/>
    <w:rsid w:val="0074130F"/>
    <w:pPr>
      <w:spacing w:after="480"/>
      <w:ind w:left="1418"/>
    </w:pPr>
    <w:rPr>
      <w:rFonts w:ascii="Arial" w:hAnsi="Arial"/>
      <w:b/>
      <w:sz w:val="48"/>
    </w:rPr>
  </w:style>
  <w:style w:type="paragraph" w:customStyle="1" w:styleId="CoverDate">
    <w:name w:val="CoverDate"/>
    <w:basedOn w:val="Normal"/>
    <w:rsid w:val="0074130F"/>
    <w:pPr>
      <w:spacing w:before="240" w:after="1200"/>
    </w:pPr>
  </w:style>
  <w:style w:type="paragraph" w:customStyle="1" w:styleId="EPBody">
    <w:name w:val="EPBody"/>
    <w:basedOn w:val="Normal"/>
    <w:rsid w:val="0074130F"/>
    <w:pPr>
      <w:jc w:val="center"/>
    </w:pPr>
    <w:rPr>
      <w:rFonts w:ascii="Arial" w:hAnsi="Arial" w:cs="Arial"/>
      <w:i/>
      <w:sz w:val="22"/>
      <w:szCs w:val="22"/>
    </w:rPr>
  </w:style>
  <w:style w:type="paragraph" w:customStyle="1" w:styleId="EPFooter">
    <w:name w:val="EPFooter"/>
    <w:basedOn w:val="Normal"/>
    <w:rsid w:val="0074130F"/>
    <w:pPr>
      <w:tabs>
        <w:tab w:val="center" w:pos="4535"/>
        <w:tab w:val="right" w:pos="9071"/>
      </w:tabs>
      <w:spacing w:before="240" w:after="240"/>
    </w:pPr>
    <w:rPr>
      <w:color w:val="010000"/>
      <w:sz w:val="22"/>
    </w:rPr>
  </w:style>
  <w:style w:type="paragraph" w:styleId="Header">
    <w:name w:val="header"/>
    <w:basedOn w:val="Normal"/>
    <w:link w:val="HeaderChar"/>
    <w:uiPriority w:val="99"/>
    <w:rsid w:val="0074130F"/>
    <w:pPr>
      <w:tabs>
        <w:tab w:val="center" w:pos="4513"/>
        <w:tab w:val="right" w:pos="9026"/>
      </w:tabs>
    </w:pPr>
  </w:style>
  <w:style w:type="character" w:customStyle="1" w:styleId="HeaderChar">
    <w:name w:val="Header Char"/>
    <w:basedOn w:val="DefaultParagraphFont"/>
    <w:link w:val="Header"/>
    <w:uiPriority w:val="99"/>
    <w:rsid w:val="0074130F"/>
    <w:rPr>
      <w:sz w:val="24"/>
      <w:lang w:val="sk-SK"/>
    </w:rPr>
  </w:style>
  <w:style w:type="paragraph" w:customStyle="1" w:styleId="EPComma">
    <w:name w:val="EPComma"/>
    <w:basedOn w:val="Normal"/>
    <w:rsid w:val="0074130F"/>
    <w:pPr>
      <w:spacing w:before="480" w:after="240"/>
    </w:pPr>
  </w:style>
  <w:style w:type="paragraph" w:customStyle="1" w:styleId="FootnoteReference1">
    <w:name w:val="Footnote Reference1"/>
    <w:basedOn w:val="Normal"/>
    <w:link w:val="FootnoteReference"/>
    <w:rsid w:val="0074130F"/>
    <w:pPr>
      <w:widowControl/>
      <w:spacing w:after="160" w:line="240" w:lineRule="exact"/>
    </w:pPr>
    <w:rPr>
      <w:sz w:val="20"/>
      <w:vertAlign w:val="superscript"/>
      <w:lang w:val="en-GB"/>
    </w:rPr>
  </w:style>
  <w:style w:type="paragraph" w:customStyle="1" w:styleId="Action">
    <w:name w:val="Action"/>
    <w:basedOn w:val="Normal"/>
    <w:rsid w:val="0074130F"/>
    <w:pPr>
      <w:tabs>
        <w:tab w:val="left" w:pos="357"/>
      </w:tabs>
      <w:spacing w:after="240"/>
      <w:ind w:left="357" w:hanging="357"/>
    </w:pPr>
  </w:style>
  <w:style w:type="paragraph" w:customStyle="1" w:styleId="action0">
    <w:name w:val="action"/>
    <w:basedOn w:val="Normal"/>
    <w:rsid w:val="0074130F"/>
    <w:pPr>
      <w:widowControl/>
      <w:spacing w:after="240"/>
      <w:ind w:left="357" w:hanging="357"/>
    </w:pPr>
    <w:rPr>
      <w:rFonts w:eastAsiaTheme="minorHAnsi"/>
      <w:szCs w:val="24"/>
    </w:rPr>
  </w:style>
  <w:style w:type="paragraph" w:styleId="Footer">
    <w:name w:val="footer"/>
    <w:basedOn w:val="Normal"/>
    <w:link w:val="FooterChar"/>
    <w:uiPriority w:val="99"/>
    <w:rsid w:val="0074130F"/>
    <w:pPr>
      <w:tabs>
        <w:tab w:val="center" w:pos="4513"/>
        <w:tab w:val="right" w:pos="9026"/>
      </w:tabs>
    </w:pPr>
  </w:style>
  <w:style w:type="character" w:customStyle="1" w:styleId="FooterChar">
    <w:name w:val="Footer Char"/>
    <w:basedOn w:val="DefaultParagraphFont"/>
    <w:link w:val="Footer"/>
    <w:uiPriority w:val="99"/>
    <w:rsid w:val="0074130F"/>
    <w:rPr>
      <w:sz w:val="24"/>
      <w:lang w:val="sk-SK"/>
    </w:rPr>
  </w:style>
  <w:style w:type="character" w:customStyle="1" w:styleId="doceo-font-family-base">
    <w:name w:val="doceo-font-family-base"/>
    <w:basedOn w:val="DefaultParagraphFont"/>
    <w:rsid w:val="0074130F"/>
  </w:style>
  <w:style w:type="paragraph" w:styleId="BalloonText">
    <w:name w:val="Balloon Text"/>
    <w:basedOn w:val="Normal"/>
    <w:link w:val="BalloonTextChar"/>
    <w:uiPriority w:val="99"/>
    <w:unhideWhenUsed/>
    <w:rsid w:val="0074130F"/>
    <w:rPr>
      <w:rFonts w:ascii="Segoe UI" w:hAnsi="Segoe UI" w:cs="Segoe UI"/>
      <w:sz w:val="18"/>
      <w:szCs w:val="18"/>
    </w:rPr>
  </w:style>
  <w:style w:type="character" w:customStyle="1" w:styleId="BalloonTextChar">
    <w:name w:val="Balloon Text Char"/>
    <w:basedOn w:val="DefaultParagraphFont"/>
    <w:link w:val="BalloonText"/>
    <w:uiPriority w:val="99"/>
    <w:rsid w:val="0074130F"/>
    <w:rPr>
      <w:rFonts w:ascii="Segoe UI" w:hAnsi="Segoe UI" w:cs="Segoe UI"/>
      <w:sz w:val="18"/>
      <w:szCs w:val="18"/>
      <w:lang w:val="sk-SK"/>
    </w:rPr>
  </w:style>
  <w:style w:type="paragraph" w:customStyle="1" w:styleId="Default">
    <w:name w:val="Default"/>
    <w:rsid w:val="0074130F"/>
    <w:pPr>
      <w:spacing w:before="160"/>
    </w:pPr>
    <w:rPr>
      <w:rFonts w:ascii="Helvetica Neue" w:eastAsia="Arial Unicode MS" w:hAnsi="Helvetica Neue" w:cs="Arial Unicode MS"/>
      <w:color w:val="000000"/>
      <w:sz w:val="24"/>
      <w:szCs w:val="24"/>
      <w:lang w:val="sk-SK"/>
      <w14:textOutline w14:w="0" w14:cap="flat" w14:cmpd="sng" w14:algn="ctr">
        <w14:noFill/>
        <w14:prstDash w14:val="solid"/>
        <w14:bevel/>
      </w14:textOutline>
    </w:rPr>
  </w:style>
  <w:style w:type="paragraph" w:styleId="EndnoteText">
    <w:name w:val="endnote text"/>
    <w:basedOn w:val="Normal"/>
    <w:link w:val="EndnoteTextChar"/>
    <w:rsid w:val="0074130F"/>
    <w:rPr>
      <w:sz w:val="20"/>
    </w:rPr>
  </w:style>
  <w:style w:type="character" w:customStyle="1" w:styleId="EndnoteTextChar">
    <w:name w:val="Endnote Text Char"/>
    <w:basedOn w:val="DefaultParagraphFont"/>
    <w:link w:val="EndnoteText"/>
    <w:rsid w:val="0074130F"/>
    <w:rPr>
      <w:lang w:val="sk-SK"/>
    </w:rPr>
  </w:style>
  <w:style w:type="character" w:styleId="EndnoteReference">
    <w:name w:val="endnote reference"/>
    <w:basedOn w:val="DefaultParagraphFont"/>
    <w:rsid w:val="0074130F"/>
    <w:rPr>
      <w:vertAlign w:val="superscript"/>
    </w:rPr>
  </w:style>
  <w:style w:type="character" w:styleId="Emphasis">
    <w:name w:val="Emphasis"/>
    <w:basedOn w:val="DefaultParagraphFont"/>
    <w:uiPriority w:val="20"/>
    <w:qFormat/>
    <w:rsid w:val="0074130F"/>
    <w:rPr>
      <w:i/>
      <w:iCs/>
    </w:rPr>
  </w:style>
  <w:style w:type="paragraph" w:customStyle="1" w:styleId="msonormal0">
    <w:name w:val="msonormal"/>
    <w:basedOn w:val="Normal"/>
    <w:rsid w:val="0074130F"/>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74130F"/>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74130F"/>
    <w:rPr>
      <w:rFonts w:eastAsiaTheme="minorHAnsi"/>
      <w:lang w:val="sk-SK" w:eastAsia="en-US"/>
    </w:rPr>
  </w:style>
  <w:style w:type="paragraph" w:styleId="Title">
    <w:name w:val="Title"/>
    <w:basedOn w:val="Normal"/>
    <w:next w:val="Normal"/>
    <w:link w:val="TitleChar"/>
    <w:uiPriority w:val="10"/>
    <w:qFormat/>
    <w:rsid w:val="0074130F"/>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74130F"/>
    <w:rPr>
      <w:rFonts w:ascii="Arial" w:eastAsiaTheme="majorEastAsia" w:hAnsi="Arial" w:cs="Arial"/>
      <w:b/>
      <w:bCs/>
      <w:kern w:val="28"/>
      <w:sz w:val="32"/>
      <w:szCs w:val="32"/>
      <w:lang w:val="sk-SK" w:eastAsia="en-US"/>
    </w:rPr>
  </w:style>
  <w:style w:type="paragraph" w:styleId="Subtitle">
    <w:name w:val="Subtitle"/>
    <w:basedOn w:val="Normal"/>
    <w:next w:val="Normal"/>
    <w:link w:val="SubtitleChar"/>
    <w:uiPriority w:val="11"/>
    <w:qFormat/>
    <w:rsid w:val="0074130F"/>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74130F"/>
    <w:rPr>
      <w:rFonts w:ascii="Arial" w:eastAsiaTheme="majorEastAsia" w:hAnsi="Arial" w:cs="Arial"/>
      <w:sz w:val="24"/>
      <w:szCs w:val="24"/>
      <w:lang w:val="sk-SK" w:eastAsia="en-US"/>
    </w:rPr>
  </w:style>
  <w:style w:type="paragraph" w:styleId="CommentSubject">
    <w:name w:val="annotation subject"/>
    <w:basedOn w:val="CommentText"/>
    <w:next w:val="CommentText"/>
    <w:link w:val="CommentSubjectChar"/>
    <w:uiPriority w:val="99"/>
    <w:unhideWhenUsed/>
    <w:rsid w:val="0074130F"/>
    <w:rPr>
      <w:b/>
      <w:bCs/>
    </w:rPr>
  </w:style>
  <w:style w:type="character" w:customStyle="1" w:styleId="CommentSubjectChar">
    <w:name w:val="Comment Subject Char"/>
    <w:basedOn w:val="CommentTextChar"/>
    <w:link w:val="CommentSubject"/>
    <w:uiPriority w:val="99"/>
    <w:rsid w:val="0074130F"/>
    <w:rPr>
      <w:rFonts w:eastAsiaTheme="minorHAnsi"/>
      <w:b/>
      <w:bCs/>
      <w:lang w:val="sk-SK" w:eastAsia="en-US"/>
    </w:rPr>
  </w:style>
  <w:style w:type="paragraph" w:styleId="NoSpacing">
    <w:name w:val="No Spacing"/>
    <w:basedOn w:val="Normal"/>
    <w:uiPriority w:val="1"/>
    <w:qFormat/>
    <w:rsid w:val="0074130F"/>
    <w:pPr>
      <w:widowControl/>
      <w:jc w:val="both"/>
    </w:pPr>
    <w:rPr>
      <w:rFonts w:eastAsiaTheme="minorHAnsi"/>
      <w:szCs w:val="32"/>
      <w:lang w:eastAsia="en-US"/>
    </w:rPr>
  </w:style>
  <w:style w:type="paragraph" w:styleId="ListParagraph">
    <w:name w:val="List Paragraph"/>
    <w:basedOn w:val="Normal"/>
    <w:uiPriority w:val="34"/>
    <w:qFormat/>
    <w:rsid w:val="0074130F"/>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74130F"/>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74130F"/>
    <w:rPr>
      <w:rFonts w:eastAsiaTheme="minorHAnsi"/>
      <w:i/>
      <w:sz w:val="24"/>
      <w:szCs w:val="24"/>
      <w:lang w:val="sk-SK" w:eastAsia="en-US"/>
    </w:rPr>
  </w:style>
  <w:style w:type="paragraph" w:styleId="IntenseQuote">
    <w:name w:val="Intense Quote"/>
    <w:basedOn w:val="Normal"/>
    <w:next w:val="Normal"/>
    <w:link w:val="IntenseQuoteChar"/>
    <w:uiPriority w:val="30"/>
    <w:qFormat/>
    <w:rsid w:val="0074130F"/>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74130F"/>
    <w:rPr>
      <w:rFonts w:eastAsiaTheme="minorHAnsi"/>
      <w:b/>
      <w:i/>
      <w:sz w:val="24"/>
      <w:szCs w:val="22"/>
      <w:lang w:val="sk-SK" w:eastAsia="en-US"/>
    </w:rPr>
  </w:style>
  <w:style w:type="paragraph" w:customStyle="1" w:styleId="TableTitle">
    <w:name w:val="Table Title"/>
    <w:basedOn w:val="Normal"/>
    <w:uiPriority w:val="99"/>
    <w:rsid w:val="0074130F"/>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74130F"/>
    <w:pPr>
      <w:keepNext/>
      <w:widowControl/>
    </w:pPr>
    <w:rPr>
      <w:rFonts w:eastAsiaTheme="minorEastAsia"/>
      <w:sz w:val="18"/>
      <w:szCs w:val="18"/>
    </w:rPr>
  </w:style>
  <w:style w:type="paragraph" w:customStyle="1" w:styleId="NormalRight">
    <w:name w:val="Normal Right"/>
    <w:basedOn w:val="Normal"/>
    <w:next w:val="Normal"/>
    <w:uiPriority w:val="99"/>
    <w:rsid w:val="0074130F"/>
    <w:pPr>
      <w:widowControl/>
      <w:spacing w:before="120" w:after="120"/>
      <w:jc w:val="right"/>
    </w:pPr>
    <w:rPr>
      <w:rFonts w:eastAsiaTheme="minorEastAsia"/>
      <w:szCs w:val="24"/>
    </w:rPr>
  </w:style>
  <w:style w:type="paragraph" w:customStyle="1" w:styleId="ReusedInfo">
    <w:name w:val="ReusedInfo"/>
    <w:next w:val="Normal"/>
    <w:uiPriority w:val="99"/>
    <w:rsid w:val="0074130F"/>
    <w:pPr>
      <w:shd w:val="clear" w:color="auto" w:fill="C0C0C0"/>
      <w:spacing w:before="60" w:after="60"/>
    </w:pPr>
    <w:rPr>
      <w:rFonts w:eastAsiaTheme="minorEastAsia"/>
      <w:lang w:val="sk-SK"/>
    </w:rPr>
  </w:style>
  <w:style w:type="paragraph" w:customStyle="1" w:styleId="Section">
    <w:name w:val="Section"/>
    <w:basedOn w:val="Normal"/>
    <w:next w:val="Normal"/>
    <w:uiPriority w:val="99"/>
    <w:rsid w:val="0074130F"/>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74130F"/>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74130F"/>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74130F"/>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74130F"/>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74130F"/>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74130F"/>
    <w:pPr>
      <w:keepNext/>
      <w:widowControl/>
      <w:spacing w:before="480" w:after="120"/>
    </w:pPr>
    <w:rPr>
      <w:rFonts w:eastAsiaTheme="minorEastAsia"/>
      <w:b/>
      <w:bCs/>
      <w:i/>
      <w:iCs/>
      <w:szCs w:val="24"/>
    </w:rPr>
  </w:style>
  <w:style w:type="paragraph" w:customStyle="1" w:styleId="Item">
    <w:name w:val="Item"/>
    <w:basedOn w:val="Normal"/>
    <w:next w:val="Normal"/>
    <w:uiPriority w:val="99"/>
    <w:rsid w:val="0074130F"/>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74130F"/>
    <w:pPr>
      <w:keepNext/>
      <w:widowControl/>
      <w:spacing w:before="480" w:after="120"/>
    </w:pPr>
    <w:rPr>
      <w:rFonts w:eastAsiaTheme="minorEastAsia"/>
      <w:sz w:val="20"/>
    </w:rPr>
  </w:style>
  <w:style w:type="paragraph" w:customStyle="1" w:styleId="Annex">
    <w:name w:val="Annex"/>
    <w:basedOn w:val="Normal"/>
    <w:next w:val="Normal"/>
    <w:uiPriority w:val="99"/>
    <w:rsid w:val="0074130F"/>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74130F"/>
    <w:pPr>
      <w:widowControl/>
      <w:spacing w:before="120" w:after="120"/>
    </w:pPr>
    <w:rPr>
      <w:rFonts w:eastAsiaTheme="minorEastAsia"/>
      <w:i/>
      <w:iCs/>
      <w:sz w:val="20"/>
    </w:rPr>
  </w:style>
  <w:style w:type="paragraph" w:customStyle="1" w:styleId="Objective">
    <w:name w:val="Objective"/>
    <w:basedOn w:val="Normal"/>
    <w:next w:val="Normal"/>
    <w:uiPriority w:val="99"/>
    <w:rsid w:val="0074130F"/>
    <w:pPr>
      <w:keepNext/>
      <w:widowControl/>
      <w:spacing w:before="120" w:after="120"/>
    </w:pPr>
    <w:rPr>
      <w:rFonts w:eastAsiaTheme="minorEastAsia"/>
      <w:i/>
      <w:iCs/>
      <w:sz w:val="20"/>
    </w:rPr>
  </w:style>
  <w:style w:type="paragraph" w:customStyle="1" w:styleId="Figures">
    <w:name w:val="Figures"/>
    <w:basedOn w:val="Normal"/>
    <w:next w:val="Normal"/>
    <w:uiPriority w:val="99"/>
    <w:rsid w:val="0074130F"/>
    <w:pPr>
      <w:keepNext/>
      <w:widowControl/>
      <w:spacing w:before="120" w:after="120"/>
    </w:pPr>
    <w:rPr>
      <w:rFonts w:eastAsiaTheme="minorEastAsia"/>
      <w:i/>
      <w:iCs/>
      <w:sz w:val="20"/>
    </w:rPr>
  </w:style>
  <w:style w:type="paragraph" w:customStyle="1" w:styleId="Remarks">
    <w:name w:val="Remarks"/>
    <w:basedOn w:val="Normal"/>
    <w:next w:val="Normal"/>
    <w:uiPriority w:val="99"/>
    <w:rsid w:val="0074130F"/>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74130F"/>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74130F"/>
    <w:pPr>
      <w:keepNext/>
      <w:widowControl/>
      <w:spacing w:before="120" w:after="120"/>
    </w:pPr>
    <w:rPr>
      <w:rFonts w:eastAsiaTheme="minorEastAsia"/>
      <w:i/>
      <w:iCs/>
      <w:sz w:val="20"/>
    </w:rPr>
  </w:style>
  <w:style w:type="paragraph" w:customStyle="1" w:styleId="Reference">
    <w:name w:val="Reference"/>
    <w:basedOn w:val="Normal"/>
    <w:next w:val="Normal"/>
    <w:uiPriority w:val="99"/>
    <w:rsid w:val="0074130F"/>
    <w:pPr>
      <w:keepNext/>
      <w:widowControl/>
      <w:spacing w:before="120" w:after="120"/>
    </w:pPr>
    <w:rPr>
      <w:rFonts w:eastAsiaTheme="minorEastAsia"/>
      <w:i/>
      <w:iCs/>
      <w:sz w:val="20"/>
    </w:rPr>
  </w:style>
  <w:style w:type="character" w:styleId="CommentReference">
    <w:name w:val="annotation reference"/>
    <w:basedOn w:val="DefaultParagraphFont"/>
    <w:unhideWhenUsed/>
    <w:rsid w:val="0074130F"/>
    <w:rPr>
      <w:sz w:val="16"/>
      <w:szCs w:val="16"/>
    </w:rPr>
  </w:style>
  <w:style w:type="character" w:styleId="SubtleEmphasis">
    <w:name w:val="Subtle Emphasis"/>
    <w:uiPriority w:val="19"/>
    <w:qFormat/>
    <w:rsid w:val="0074130F"/>
    <w:rPr>
      <w:i/>
      <w:iCs w:val="0"/>
      <w:color w:val="5A5A5A" w:themeColor="text1" w:themeTint="A5"/>
    </w:rPr>
  </w:style>
  <w:style w:type="character" w:styleId="IntenseEmphasis">
    <w:name w:val="Intense Emphasis"/>
    <w:basedOn w:val="DefaultParagraphFont"/>
    <w:uiPriority w:val="21"/>
    <w:qFormat/>
    <w:rsid w:val="0074130F"/>
    <w:rPr>
      <w:b/>
      <w:bCs w:val="0"/>
      <w:i/>
      <w:iCs w:val="0"/>
      <w:sz w:val="24"/>
      <w:szCs w:val="24"/>
      <w:u w:val="single"/>
    </w:rPr>
  </w:style>
  <w:style w:type="character" w:styleId="SubtleReference">
    <w:name w:val="Subtle Reference"/>
    <w:basedOn w:val="DefaultParagraphFont"/>
    <w:uiPriority w:val="31"/>
    <w:qFormat/>
    <w:rsid w:val="0074130F"/>
    <w:rPr>
      <w:sz w:val="24"/>
      <w:szCs w:val="24"/>
      <w:u w:val="single"/>
    </w:rPr>
  </w:style>
  <w:style w:type="character" w:styleId="IntenseReference">
    <w:name w:val="Intense Reference"/>
    <w:basedOn w:val="DefaultParagraphFont"/>
    <w:uiPriority w:val="32"/>
    <w:qFormat/>
    <w:rsid w:val="0074130F"/>
    <w:rPr>
      <w:b/>
      <w:bCs w:val="0"/>
      <w:sz w:val="24"/>
      <w:u w:val="single"/>
    </w:rPr>
  </w:style>
  <w:style w:type="character" w:styleId="BookTitle">
    <w:name w:val="Book Title"/>
    <w:basedOn w:val="DefaultParagraphFont"/>
    <w:uiPriority w:val="33"/>
    <w:qFormat/>
    <w:rsid w:val="0074130F"/>
    <w:rPr>
      <w:rFonts w:asciiTheme="majorHAnsi" w:eastAsiaTheme="majorEastAsia" w:hAnsiTheme="majorHAnsi" w:cs="Calibri Light" w:hint="default"/>
      <w:b/>
      <w:bCs w:val="0"/>
      <w:i/>
      <w:iCs w:val="0"/>
      <w:sz w:val="24"/>
      <w:szCs w:val="24"/>
    </w:rPr>
  </w:style>
  <w:style w:type="character" w:customStyle="1" w:styleId="tw4winExternal">
    <w:name w:val="tw4winExternal"/>
    <w:basedOn w:val="DefaultParagraphFont"/>
    <w:uiPriority w:val="99"/>
    <w:rsid w:val="0074130F"/>
  </w:style>
  <w:style w:type="character" w:customStyle="1" w:styleId="tw4winInternal">
    <w:name w:val="tw4winInternal"/>
    <w:basedOn w:val="DefaultParagraphFont"/>
    <w:uiPriority w:val="99"/>
    <w:rsid w:val="0074130F"/>
    <w:rPr>
      <w:sz w:val="16"/>
      <w:szCs w:val="16"/>
      <w:u w:val="dash"/>
      <w:shd w:val="clear" w:color="auto" w:fill="FFFF00"/>
    </w:rPr>
  </w:style>
  <w:style w:type="character" w:customStyle="1" w:styleId="ReusedInlineInfo">
    <w:name w:val="ReusedInlineInfo"/>
    <w:basedOn w:val="DefaultParagraphFont"/>
    <w:uiPriority w:val="99"/>
    <w:rsid w:val="0074130F"/>
    <w:rPr>
      <w:sz w:val="16"/>
      <w:szCs w:val="16"/>
      <w:u w:val="dash"/>
      <w:shd w:val="clear" w:color="auto" w:fill="FFFF00"/>
    </w:rPr>
  </w:style>
  <w:style w:type="character" w:customStyle="1" w:styleId="Error">
    <w:name w:val="Error"/>
    <w:basedOn w:val="DefaultParagraphFont"/>
    <w:uiPriority w:val="99"/>
    <w:rsid w:val="0074130F"/>
    <w:rPr>
      <w:shd w:val="clear" w:color="auto" w:fill="FF0000"/>
    </w:rPr>
  </w:style>
  <w:style w:type="paragraph" w:customStyle="1" w:styleId="RollCallVotes">
    <w:name w:val="RollCallVotes"/>
    <w:basedOn w:val="Normal"/>
    <w:rsid w:val="0074130F"/>
    <w:pPr>
      <w:spacing w:before="120" w:after="120"/>
      <w:jc w:val="center"/>
    </w:pPr>
    <w:rPr>
      <w:b/>
      <w:bCs/>
      <w:snapToGrid w:val="0"/>
      <w:sz w:val="16"/>
      <w:lang w:eastAsia="en-US"/>
    </w:rPr>
  </w:style>
  <w:style w:type="paragraph" w:customStyle="1" w:styleId="RollCallTabs">
    <w:name w:val="RollCallTabs"/>
    <w:basedOn w:val="Normal"/>
    <w:qFormat/>
    <w:rsid w:val="0074130F"/>
    <w:pPr>
      <w:tabs>
        <w:tab w:val="center" w:pos="284"/>
        <w:tab w:val="left" w:pos="426"/>
      </w:tabs>
    </w:pPr>
    <w:rPr>
      <w:snapToGrid w:val="0"/>
      <w:lang w:eastAsia="en-US"/>
    </w:rPr>
  </w:style>
  <w:style w:type="paragraph" w:customStyle="1" w:styleId="RollCallSymbols14pt">
    <w:name w:val="RollCallSymbols14pt"/>
    <w:basedOn w:val="Normal"/>
    <w:rsid w:val="0074130F"/>
    <w:pPr>
      <w:spacing w:before="120" w:after="120"/>
      <w:jc w:val="center"/>
    </w:pPr>
    <w:rPr>
      <w:rFonts w:ascii="Arial" w:hAnsi="Arial"/>
      <w:b/>
      <w:bCs/>
      <w:snapToGrid w:val="0"/>
      <w:sz w:val="28"/>
      <w:lang w:eastAsia="en-US"/>
    </w:rPr>
  </w:style>
  <w:style w:type="paragraph" w:customStyle="1" w:styleId="RollCallTable">
    <w:name w:val="RollCallTable"/>
    <w:basedOn w:val="Normal"/>
    <w:rsid w:val="0074130F"/>
    <w:pPr>
      <w:spacing w:before="120" w:after="120"/>
    </w:pPr>
    <w:rPr>
      <w:snapToGrid w:val="0"/>
      <w:sz w:val="16"/>
      <w:lang w:eastAsia="en-US"/>
    </w:rPr>
  </w:style>
  <w:style w:type="paragraph" w:customStyle="1" w:styleId="Normal24a">
    <w:name w:val="Normal24a"/>
    <w:basedOn w:val="Normal"/>
    <w:rsid w:val="0074130F"/>
    <w:pPr>
      <w:spacing w:after="480"/>
    </w:pPr>
  </w:style>
  <w:style w:type="paragraph" w:customStyle="1" w:styleId="NormalBoldCenter">
    <w:name w:val="NormalBoldCenter"/>
    <w:basedOn w:val="Normal"/>
    <w:rsid w:val="0074130F"/>
    <w:pPr>
      <w:jc w:val="center"/>
    </w:pPr>
    <w:rPr>
      <w:b/>
    </w:rPr>
  </w:style>
  <w:style w:type="character" w:styleId="Strong">
    <w:name w:val="Strong"/>
    <w:basedOn w:val="DefaultParagraphFont"/>
    <w:uiPriority w:val="22"/>
    <w:qFormat/>
    <w:rsid w:val="0074130F"/>
    <w:rPr>
      <w:b/>
      <w:bCs/>
    </w:rPr>
  </w:style>
  <w:style w:type="paragraph" w:styleId="Revision">
    <w:name w:val="Revision"/>
    <w:hidden/>
    <w:uiPriority w:val="99"/>
    <w:semiHidden/>
    <w:rsid w:val="0074130F"/>
    <w:rPr>
      <w:rFonts w:eastAsiaTheme="minorHAnsi"/>
      <w:sz w:val="24"/>
      <w:szCs w:val="24"/>
      <w:lang w:val="sk-SK" w:eastAsia="en-US"/>
    </w:rPr>
  </w:style>
  <w:style w:type="numbering" w:customStyle="1" w:styleId="NoList1">
    <w:name w:val="No List1"/>
    <w:next w:val="NoList"/>
    <w:uiPriority w:val="99"/>
    <w:semiHidden/>
    <w:unhideWhenUsed/>
    <w:rsid w:val="0074130F"/>
  </w:style>
  <w:style w:type="numbering" w:customStyle="1" w:styleId="NoList2">
    <w:name w:val="No List2"/>
    <w:next w:val="NoList"/>
    <w:uiPriority w:val="99"/>
    <w:semiHidden/>
    <w:unhideWhenUsed/>
    <w:rsid w:val="0074130F"/>
  </w:style>
  <w:style w:type="character" w:styleId="Hyperlink">
    <w:name w:val="Hyperlink"/>
    <w:basedOn w:val="DefaultParagraphFont"/>
    <w:rsid w:val="004B10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20217-9BF6-409F-A30F-1170E1BEF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2886</Words>
  <Characters>17456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2024-04-25T13:24:00Z</dcterms:created>
  <dcterms:modified xsi:type="dcterms:W3CDTF">2024-04-25T13:24:00Z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A9-0180/2024</vt:lpwstr>
  </property>
  <property fmtid="{D5CDD505-2E9C-101B-9397-08002B2CF9AE}" pid="4" name="&lt;Type&gt;">
    <vt:lpwstr>RR</vt:lpwstr>
  </property>
</Properties>
</file>