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6677D" w:rsidTr="0010095E">
        <w:trPr>
          <w:trHeight w:hRule="exact" w:val="1418"/>
        </w:trPr>
        <w:tc>
          <w:tcPr>
            <w:tcW w:w="6804" w:type="dxa"/>
            <w:shd w:val="clear" w:color="auto" w:fill="auto"/>
            <w:vAlign w:val="center"/>
          </w:tcPr>
          <w:p w:rsidR="00751A4A" w:rsidRPr="0076677D" w:rsidRDefault="00376A63" w:rsidP="0010095E">
            <w:pPr>
              <w:pStyle w:val="EPName"/>
            </w:pPr>
            <w:r w:rsidRPr="0076677D">
              <w:t>Europaparlamentet</w:t>
            </w:r>
          </w:p>
          <w:p w:rsidR="00751A4A" w:rsidRPr="0076677D" w:rsidRDefault="00817416" w:rsidP="00756632">
            <w:pPr>
              <w:pStyle w:val="EPTerm"/>
              <w:rPr>
                <w:rStyle w:val="HideTWBExt"/>
                <w:noProof w:val="0"/>
                <w:vanish w:val="0"/>
                <w:color w:val="auto"/>
              </w:rPr>
            </w:pPr>
            <w:r w:rsidRPr="0076677D">
              <w:t>2019-2024</w:t>
            </w:r>
          </w:p>
        </w:tc>
        <w:tc>
          <w:tcPr>
            <w:tcW w:w="2268" w:type="dxa"/>
            <w:shd w:val="clear" w:color="auto" w:fill="auto"/>
          </w:tcPr>
          <w:p w:rsidR="00751A4A" w:rsidRPr="0076677D" w:rsidRDefault="00187494" w:rsidP="0010095E">
            <w:pPr>
              <w:pStyle w:val="EPLogo"/>
            </w:pPr>
            <w:r w:rsidRPr="0076677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6677D" w:rsidRDefault="00D058B8" w:rsidP="004C5D52">
      <w:pPr>
        <w:pStyle w:val="LineTop"/>
      </w:pPr>
    </w:p>
    <w:p w:rsidR="00680577" w:rsidRPr="0076677D" w:rsidRDefault="00376A63" w:rsidP="00680577">
      <w:pPr>
        <w:pStyle w:val="EPBodyTA1"/>
      </w:pPr>
      <w:r w:rsidRPr="0076677D">
        <w:t>ANTAGNA TEXTER</w:t>
      </w:r>
    </w:p>
    <w:p w:rsidR="00D058B8" w:rsidRPr="0076677D" w:rsidRDefault="00D058B8" w:rsidP="00D058B8">
      <w:pPr>
        <w:pStyle w:val="LineBottom"/>
      </w:pPr>
    </w:p>
    <w:p w:rsidR="00376A63" w:rsidRPr="0076677D" w:rsidRDefault="00376A63" w:rsidP="00376A63">
      <w:pPr>
        <w:pStyle w:val="ATHeading1"/>
      </w:pPr>
      <w:bookmarkStart w:id="0" w:name="TANumber"/>
      <w:r w:rsidRPr="0076677D">
        <w:t>P9_TA(2024)</w:t>
      </w:r>
      <w:bookmarkEnd w:id="0"/>
      <w:r w:rsidR="000027AF" w:rsidRPr="0076677D">
        <w:t>0</w:t>
      </w:r>
      <w:r w:rsidR="000027AF">
        <w:t>373</w:t>
      </w:r>
    </w:p>
    <w:p w:rsidR="00376A63" w:rsidRPr="0076677D" w:rsidRDefault="00376A63" w:rsidP="00376A63">
      <w:pPr>
        <w:pStyle w:val="ATHeading2"/>
      </w:pPr>
      <w:bookmarkStart w:id="1" w:name="title"/>
      <w:r w:rsidRPr="0076677D">
        <w:t>Beräkning av inkomster och utgifter för budgetåret 2025 –Avsnitt I – Europaparlamentet</w:t>
      </w:r>
      <w:bookmarkEnd w:id="1"/>
    </w:p>
    <w:p w:rsidR="00376A63" w:rsidRPr="0076677D" w:rsidRDefault="00376A63" w:rsidP="00376A63">
      <w:pPr>
        <w:rPr>
          <w:i/>
          <w:vanish/>
        </w:rPr>
      </w:pPr>
      <w:r w:rsidRPr="0076677D">
        <w:rPr>
          <w:i/>
        </w:rPr>
        <w:fldChar w:fldCharType="begin"/>
      </w:r>
      <w:r w:rsidRPr="0076677D">
        <w:rPr>
          <w:i/>
        </w:rPr>
        <w:instrText xml:space="preserve"> TC"(</w:instrText>
      </w:r>
      <w:bookmarkStart w:id="2" w:name="DocNumber"/>
      <w:r w:rsidRPr="0076677D">
        <w:rPr>
          <w:i/>
        </w:rPr>
        <w:instrText>A9-0180/2024</w:instrText>
      </w:r>
      <w:bookmarkEnd w:id="2"/>
      <w:r w:rsidRPr="0076677D">
        <w:rPr>
          <w:i/>
        </w:rPr>
        <w:instrText xml:space="preserve"> - Föredragand</w:instrText>
      </w:r>
      <w:bookmarkStart w:id="3" w:name="_GoBack"/>
      <w:bookmarkEnd w:id="3"/>
      <w:r w:rsidRPr="0076677D">
        <w:rPr>
          <w:i/>
        </w:rPr>
        <w:instrText>e: Anna</w:instrText>
      </w:r>
      <w:r w:rsidRPr="0076677D">
        <w:rPr>
          <w:i/>
        </w:rPr>
        <w:noBreakHyphen/>
        <w:instrText xml:space="preserve">Michelle </w:instrText>
      </w:r>
      <w:proofErr w:type="spellStart"/>
      <w:r w:rsidRPr="0076677D">
        <w:rPr>
          <w:i/>
        </w:rPr>
        <w:instrText>Asimakopoulou</w:instrText>
      </w:r>
      <w:proofErr w:type="spellEnd"/>
      <w:r w:rsidRPr="0076677D">
        <w:rPr>
          <w:i/>
        </w:rPr>
        <w:instrText xml:space="preserve">)"\l3 \n&gt; \* MERGEFORMAT </w:instrText>
      </w:r>
      <w:r w:rsidRPr="0076677D">
        <w:rPr>
          <w:i/>
        </w:rPr>
        <w:fldChar w:fldCharType="end"/>
      </w:r>
    </w:p>
    <w:p w:rsidR="00376A63" w:rsidRPr="0076677D" w:rsidRDefault="00376A63" w:rsidP="00376A63">
      <w:pPr>
        <w:rPr>
          <w:vanish/>
        </w:rPr>
      </w:pPr>
      <w:bookmarkStart w:id="4" w:name="Commission"/>
      <w:r w:rsidRPr="0076677D">
        <w:rPr>
          <w:vanish/>
        </w:rPr>
        <w:t>Budgetutskottet</w:t>
      </w:r>
      <w:bookmarkEnd w:id="4"/>
    </w:p>
    <w:p w:rsidR="00376A63" w:rsidRPr="0076677D" w:rsidRDefault="00376A63" w:rsidP="00376A63">
      <w:pPr>
        <w:rPr>
          <w:vanish/>
        </w:rPr>
      </w:pPr>
      <w:bookmarkStart w:id="5" w:name="PE"/>
      <w:r w:rsidRPr="0076677D">
        <w:rPr>
          <w:vanish/>
        </w:rPr>
        <w:t>PE759.633</w:t>
      </w:r>
      <w:bookmarkEnd w:id="5"/>
    </w:p>
    <w:p w:rsidR="00376A63" w:rsidRPr="0076677D" w:rsidRDefault="00376A63" w:rsidP="00376A63">
      <w:pPr>
        <w:pStyle w:val="ATHeading3"/>
      </w:pPr>
      <w:bookmarkStart w:id="6" w:name="Sujet"/>
      <w:r w:rsidRPr="0076677D">
        <w:t xml:space="preserve">Europaparlamentets resolution av den </w:t>
      </w:r>
      <w:r w:rsidR="00BF44E8">
        <w:t>25</w:t>
      </w:r>
      <w:r w:rsidRPr="0076677D">
        <w:t xml:space="preserve"> </w:t>
      </w:r>
      <w:r w:rsidR="00BF44E8">
        <w:t>april</w:t>
      </w:r>
      <w:r w:rsidRPr="0076677D">
        <w:t xml:space="preserve"> 2024 om beräkning av Europaparlamentets inkomster och utgifter för budgetåret 2025</w:t>
      </w:r>
      <w:bookmarkEnd w:id="6"/>
      <w:r w:rsidRPr="0076677D">
        <w:t xml:space="preserve"> </w:t>
      </w:r>
      <w:bookmarkStart w:id="7" w:name="References"/>
      <w:r w:rsidRPr="0076677D">
        <w:t>(2023/2221(BUI))</w:t>
      </w:r>
      <w:bookmarkEnd w:id="7"/>
    </w:p>
    <w:p w:rsidR="00605C1E" w:rsidRPr="0076677D" w:rsidRDefault="00605C1E" w:rsidP="00605C1E">
      <w:pPr>
        <w:pStyle w:val="EPComma"/>
      </w:pPr>
      <w:bookmarkStart w:id="8" w:name="TextBodyBegin"/>
      <w:bookmarkEnd w:id="8"/>
      <w:r w:rsidRPr="0076677D">
        <w:rPr>
          <w:i/>
        </w:rPr>
        <w:t>Europaparlamentet utfärdar denna resolution</w:t>
      </w:r>
    </w:p>
    <w:p w:rsidR="00605C1E" w:rsidRPr="0076677D" w:rsidRDefault="00605C1E" w:rsidP="00605C1E">
      <w:pPr>
        <w:pStyle w:val="NormalHanging12a"/>
        <w:rPr>
          <w:szCs w:val="24"/>
        </w:rPr>
      </w:pPr>
      <w:r w:rsidRPr="0076677D">
        <w:t>–</w:t>
      </w:r>
      <w:r w:rsidRPr="0076677D">
        <w:tab/>
        <w:t>med beaktande av artikel 314 i fördraget om Europeiska unionens funktionssätt,</w:t>
      </w:r>
    </w:p>
    <w:p w:rsidR="00605C1E" w:rsidRPr="0076677D" w:rsidRDefault="00605C1E" w:rsidP="00605C1E">
      <w:pPr>
        <w:pStyle w:val="NormalHanging12a"/>
        <w:rPr>
          <w:szCs w:val="24"/>
        </w:rPr>
      </w:pPr>
      <w:r w:rsidRPr="0076677D">
        <w:t>–</w:t>
      </w:r>
      <w:r w:rsidRPr="0076677D">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76677D">
        <w:rPr>
          <w:rStyle w:val="FootnoteReference"/>
          <w:szCs w:val="24"/>
        </w:rPr>
        <w:footnoteReference w:id="1"/>
      </w:r>
      <w:r w:rsidRPr="0076677D">
        <w:t>,</w:t>
      </w:r>
    </w:p>
    <w:p w:rsidR="00605C1E" w:rsidRPr="0076677D" w:rsidRDefault="00605C1E" w:rsidP="00605C1E">
      <w:pPr>
        <w:pStyle w:val="NormalHanging12a"/>
        <w:rPr>
          <w:szCs w:val="24"/>
        </w:rPr>
      </w:pPr>
      <w:r w:rsidRPr="0076677D">
        <w:t>–</w:t>
      </w:r>
      <w:r w:rsidRPr="0076677D">
        <w:tab/>
        <w:t>med beaktande av rådets förordning (EU, Euratom) 2020/2093 av den 17 december 2020 om den fleråriga budgetramen för 2021–2027</w:t>
      </w:r>
      <w:r w:rsidRPr="0076677D">
        <w:rPr>
          <w:szCs w:val="24"/>
          <w:vertAlign w:val="superscript"/>
        </w:rPr>
        <w:footnoteReference w:id="2"/>
      </w:r>
      <w:r w:rsidRPr="0076677D">
        <w:t xml:space="preserve"> och de gemensamma förklaringar som parlamentet, rådet och kommissionen enats om i detta sammanhang</w:t>
      </w:r>
      <w:r w:rsidRPr="0076677D">
        <w:rPr>
          <w:szCs w:val="24"/>
          <w:vertAlign w:val="superscript"/>
        </w:rPr>
        <w:footnoteReference w:id="3"/>
      </w:r>
      <w:r w:rsidRPr="0076677D">
        <w:t>, samt de därmed sammanhängande ensidiga förklaringarna</w:t>
      </w:r>
      <w:r w:rsidRPr="0076677D">
        <w:rPr>
          <w:szCs w:val="24"/>
          <w:vertAlign w:val="superscript"/>
        </w:rPr>
        <w:footnoteReference w:id="4"/>
      </w:r>
      <w:r w:rsidRPr="0076677D">
        <w:t xml:space="preserve">, </w:t>
      </w:r>
    </w:p>
    <w:p w:rsidR="00605C1E" w:rsidRPr="0076677D" w:rsidRDefault="00605C1E" w:rsidP="00605C1E">
      <w:pPr>
        <w:pStyle w:val="NormalHanging12a"/>
        <w:rPr>
          <w:szCs w:val="24"/>
        </w:rPr>
      </w:pPr>
      <w:r w:rsidRPr="0076677D">
        <w:t>–</w:t>
      </w:r>
      <w:r w:rsidRPr="0076677D">
        <w:tab/>
        <w:t>med beaktande av det interinstitutionella avtalet av den 16 december 2020 mellan Europaparlamentet, Europeiska unionens råd och Europeiska kommissionen om budgetdisciplin, samarbete i budgetfrågor och sund ekonomisk förvaltning samt om nya egna medel, inbegripet en färdplan för införandet av nya egna medel</w:t>
      </w:r>
      <w:r w:rsidRPr="0076677D">
        <w:rPr>
          <w:rStyle w:val="FootnoteReference"/>
          <w:szCs w:val="24"/>
        </w:rPr>
        <w:footnoteReference w:id="5"/>
      </w:r>
      <w:r w:rsidRPr="0076677D">
        <w:t>,</w:t>
      </w:r>
    </w:p>
    <w:p w:rsidR="00605C1E" w:rsidRPr="0076677D" w:rsidRDefault="00605C1E" w:rsidP="00605C1E">
      <w:pPr>
        <w:pStyle w:val="NormalHanging12a"/>
        <w:rPr>
          <w:szCs w:val="24"/>
        </w:rPr>
      </w:pPr>
      <w:r w:rsidRPr="0076677D">
        <w:t>–</w:t>
      </w:r>
      <w:r w:rsidRPr="0076677D">
        <w:tab/>
        <w:t xml:space="preserve">med beaktande av sitt </w:t>
      </w:r>
      <w:proofErr w:type="spellStart"/>
      <w:r w:rsidRPr="0076677D">
        <w:t>interimsbetänkande</w:t>
      </w:r>
      <w:proofErr w:type="spellEnd"/>
      <w:r w:rsidRPr="0076677D">
        <w:t xml:space="preserve"> </w:t>
      </w:r>
      <w:r w:rsidR="00BF44E8">
        <w:t xml:space="preserve">av den 3 oktober 2023 </w:t>
      </w:r>
      <w:r w:rsidRPr="0076677D">
        <w:t xml:space="preserve">om förslaget till en </w:t>
      </w:r>
      <w:r w:rsidRPr="0076677D">
        <w:lastRenderedPageBreak/>
        <w:t>halvtidsöversyn av den fleråriga budgetramen 2021–2027</w:t>
      </w:r>
      <w:r w:rsidRPr="0076677D">
        <w:rPr>
          <w:szCs w:val="24"/>
          <w:vertAlign w:val="superscript"/>
        </w:rPr>
        <w:footnoteReference w:id="6"/>
      </w:r>
      <w:r w:rsidRPr="0076677D">
        <w:t>,</w:t>
      </w:r>
    </w:p>
    <w:p w:rsidR="00605C1E" w:rsidRPr="0076677D" w:rsidRDefault="00605C1E" w:rsidP="00605C1E">
      <w:pPr>
        <w:pStyle w:val="NormalHanging12a"/>
        <w:rPr>
          <w:szCs w:val="24"/>
        </w:rPr>
      </w:pPr>
      <w:r w:rsidRPr="0076677D">
        <w:t>–</w:t>
      </w:r>
      <w:r w:rsidRPr="0076677D">
        <w:tab/>
        <w:t xml:space="preserve">med beaktande av sin resolution av den 15 december 2022 om </w:t>
      </w:r>
      <w:proofErr w:type="spellStart"/>
      <w:r w:rsidRPr="0076677D">
        <w:t>uppskalningen</w:t>
      </w:r>
      <w:proofErr w:type="spellEnd"/>
      <w:r w:rsidRPr="0076677D">
        <w:t xml:space="preserve"> av den fleråriga budgetramen 2021–2027: en </w:t>
      </w:r>
      <w:proofErr w:type="spellStart"/>
      <w:r w:rsidRPr="0076677D">
        <w:t>resilient</w:t>
      </w:r>
      <w:proofErr w:type="spellEnd"/>
      <w:r w:rsidRPr="0076677D">
        <w:t xml:space="preserve"> EU-budget som är anpassad till nya utmaningar</w:t>
      </w:r>
      <w:r w:rsidRPr="0076677D">
        <w:rPr>
          <w:szCs w:val="24"/>
          <w:vertAlign w:val="superscript"/>
        </w:rPr>
        <w:footnoteReference w:id="7"/>
      </w:r>
      <w:r w:rsidRPr="0076677D">
        <w:t xml:space="preserve">, </w:t>
      </w:r>
    </w:p>
    <w:p w:rsidR="00605C1E" w:rsidRPr="0076677D" w:rsidRDefault="00605C1E" w:rsidP="00605C1E">
      <w:pPr>
        <w:pStyle w:val="NormalHanging12a"/>
        <w:rPr>
          <w:szCs w:val="24"/>
        </w:rPr>
      </w:pPr>
      <w:r w:rsidRPr="0076677D">
        <w:t>–</w:t>
      </w:r>
      <w:r w:rsidRPr="0076677D">
        <w:tab/>
        <w:t xml:space="preserve">med beaktande av rådets förordning (EU, Euratom) 2024/765 </w:t>
      </w:r>
      <w:r w:rsidRPr="0076677D">
        <w:rPr>
          <w:shd w:val="clear" w:color="auto" w:fill="FFFFFF"/>
        </w:rPr>
        <w:t>av den 29 februari 2024 om ändring av förordning (EU, Euratom) 2020/2093</w:t>
      </w:r>
      <w:r w:rsidRPr="0076677D">
        <w:t xml:space="preserve"> om den fleråriga budgetramen för 2021–2027</w:t>
      </w:r>
      <w:r w:rsidRPr="0076677D">
        <w:rPr>
          <w:rStyle w:val="FootnoteReference"/>
          <w:szCs w:val="24"/>
        </w:rPr>
        <w:footnoteReference w:id="8"/>
      </w:r>
      <w:r w:rsidRPr="0076677D">
        <w:t xml:space="preserve"> (revideringen av den fleråriga budgetramen),</w:t>
      </w:r>
    </w:p>
    <w:p w:rsidR="00605C1E" w:rsidRPr="0076677D" w:rsidRDefault="00605C1E" w:rsidP="00605C1E">
      <w:pPr>
        <w:pStyle w:val="NormalHanging12a"/>
        <w:keepNext/>
        <w:widowControl/>
        <w:rPr>
          <w:szCs w:val="24"/>
        </w:rPr>
      </w:pPr>
      <w:r w:rsidRPr="0076677D">
        <w:t>–</w:t>
      </w:r>
      <w:r w:rsidRPr="0076677D">
        <w:tab/>
        <w:t>med beaktande av kommissionens förslag av den 16 maj 2022 till Europaparlamentets och rådets förordning om finansiella regler för unionens allmänna budget</w:t>
      </w:r>
      <w:r w:rsidRPr="0076677D">
        <w:rPr>
          <w:rStyle w:val="FootnoteReference"/>
          <w:szCs w:val="24"/>
        </w:rPr>
        <w:footnoteReference w:id="9"/>
      </w:r>
      <w:r w:rsidRPr="0076677D">
        <w:t>,</w:t>
      </w:r>
    </w:p>
    <w:p w:rsidR="00605C1E" w:rsidRPr="0076677D" w:rsidRDefault="00605C1E" w:rsidP="00605C1E">
      <w:pPr>
        <w:pStyle w:val="NormalHanging12a"/>
        <w:rPr>
          <w:szCs w:val="24"/>
        </w:rPr>
      </w:pPr>
      <w:r w:rsidRPr="0076677D">
        <w:t>–</w:t>
      </w:r>
      <w:r w:rsidRPr="0076677D">
        <w:tab/>
        <w:t>med beaktande av Europaparlamentets och rådets förordning (EU, Euratom) nr 1023/2013 av den 22 oktober 2013 om ändring av tjänsteföreskrifterna för tjänstemän i Europeiska unionen och anställningsvillkoren för övriga anställda i Europeiska unionen</w:t>
      </w:r>
      <w:r w:rsidRPr="0076677D">
        <w:rPr>
          <w:rStyle w:val="FootnoteReference"/>
          <w:szCs w:val="24"/>
        </w:rPr>
        <w:footnoteReference w:id="10"/>
      </w:r>
      <w:r w:rsidRPr="0076677D">
        <w:t>,</w:t>
      </w:r>
    </w:p>
    <w:p w:rsidR="00605C1E" w:rsidRPr="0076677D" w:rsidRDefault="00605C1E" w:rsidP="00605C1E">
      <w:pPr>
        <w:pStyle w:val="NormalHanging12a"/>
        <w:rPr>
          <w:szCs w:val="24"/>
        </w:rPr>
      </w:pPr>
      <w:r w:rsidRPr="0076677D">
        <w:t>–</w:t>
      </w:r>
      <w:r w:rsidRPr="0076677D">
        <w:tab/>
        <w:t>med beaktande av sin resolution av den 20 april 2023 om beräkning av Europaparlamentets inkomster och utgifter för budgetåret 2024</w:t>
      </w:r>
      <w:r w:rsidRPr="0076677D">
        <w:rPr>
          <w:rStyle w:val="FootnoteReference"/>
          <w:szCs w:val="24"/>
        </w:rPr>
        <w:footnoteReference w:id="11"/>
      </w:r>
      <w:r w:rsidRPr="0076677D">
        <w:t xml:space="preserve">, </w:t>
      </w:r>
    </w:p>
    <w:p w:rsidR="00605C1E" w:rsidRPr="0076677D" w:rsidRDefault="00605C1E" w:rsidP="00605C1E">
      <w:pPr>
        <w:pStyle w:val="NormalHanging12a"/>
        <w:rPr>
          <w:szCs w:val="24"/>
        </w:rPr>
      </w:pPr>
      <w:r w:rsidRPr="0076677D">
        <w:t>–</w:t>
      </w:r>
      <w:r w:rsidRPr="0076677D">
        <w:tab/>
        <w:t>med beaktande av sin resolution av den 18 oktober 2023 om rådets ståndpunkt om förslaget till Europeiska unionens allmänna budget för budgetåret 2024</w:t>
      </w:r>
      <w:r w:rsidRPr="0076677D">
        <w:rPr>
          <w:rStyle w:val="FootnoteReference"/>
          <w:szCs w:val="24"/>
        </w:rPr>
        <w:footnoteReference w:id="12"/>
      </w:r>
      <w:r w:rsidRPr="0076677D">
        <w:t xml:space="preserve">, </w:t>
      </w:r>
    </w:p>
    <w:p w:rsidR="00605C1E" w:rsidRPr="0076677D" w:rsidRDefault="00605C1E" w:rsidP="00605C1E">
      <w:pPr>
        <w:pStyle w:val="NormalHanging12a"/>
        <w:rPr>
          <w:szCs w:val="24"/>
        </w:rPr>
      </w:pPr>
      <w:r w:rsidRPr="0076677D">
        <w:t>–</w:t>
      </w:r>
      <w:r w:rsidRPr="0076677D">
        <w:tab/>
        <w:t>med beaktande av Europeiska unionens allmänna budget för budgetåret 2024</w:t>
      </w:r>
      <w:r w:rsidRPr="0076677D">
        <w:rPr>
          <w:rStyle w:val="FootnoteReference"/>
          <w:szCs w:val="24"/>
        </w:rPr>
        <w:footnoteReference w:id="13"/>
      </w:r>
      <w:r w:rsidRPr="0076677D">
        <w:t xml:space="preserve"> och de gemensamma uttalanden, bifogade till budgeten, som parlamentet, rådet och kommissionen enats om, </w:t>
      </w:r>
    </w:p>
    <w:p w:rsidR="00605C1E" w:rsidRPr="0076677D" w:rsidRDefault="00605C1E" w:rsidP="00605C1E">
      <w:pPr>
        <w:pStyle w:val="NormalHanging12a"/>
        <w:rPr>
          <w:szCs w:val="24"/>
        </w:rPr>
      </w:pPr>
      <w:r w:rsidRPr="0076677D">
        <w:t>–</w:t>
      </w:r>
      <w:r w:rsidRPr="0076677D">
        <w:tab/>
        <w:t>med beaktande av generalsekreterarens rapport till presidiet inför upprättandet av det preliminära förslaget till parlamentets budgetberäkning för budgetåret 2025,</w:t>
      </w:r>
    </w:p>
    <w:p w:rsidR="00605C1E" w:rsidRPr="0076677D" w:rsidRDefault="00605C1E" w:rsidP="00605C1E">
      <w:pPr>
        <w:pStyle w:val="NormalHanging12a"/>
        <w:rPr>
          <w:szCs w:val="24"/>
        </w:rPr>
      </w:pPr>
      <w:r w:rsidRPr="0076677D">
        <w:t>–</w:t>
      </w:r>
      <w:r w:rsidRPr="0076677D">
        <w:tab/>
        <w:t>med beaktande av det preliminära förslag till budgetberäkning som presidiet upprättade den 11 mars 2024 i enlighet med artiklarna 25.7 och 102.1 i arbetsordningen,</w:t>
      </w:r>
    </w:p>
    <w:p w:rsidR="00605C1E" w:rsidRPr="0076677D" w:rsidRDefault="00605C1E" w:rsidP="00605C1E">
      <w:pPr>
        <w:pStyle w:val="NormalHanging12a"/>
        <w:rPr>
          <w:szCs w:val="24"/>
        </w:rPr>
      </w:pPr>
      <w:r w:rsidRPr="0076677D">
        <w:t>–</w:t>
      </w:r>
      <w:r w:rsidRPr="0076677D">
        <w:tab/>
        <w:t>med beaktande av förslaget till budgetberäkning som budgetutskottet upprättat i enlighet med artikel 102.2 i arbetsordningen,</w:t>
      </w:r>
    </w:p>
    <w:p w:rsidR="00605C1E" w:rsidRPr="0076677D" w:rsidRDefault="00605C1E" w:rsidP="00605C1E">
      <w:pPr>
        <w:pStyle w:val="NormalHanging12a"/>
        <w:rPr>
          <w:szCs w:val="24"/>
        </w:rPr>
      </w:pPr>
      <w:r w:rsidRPr="0076677D">
        <w:t>–</w:t>
      </w:r>
      <w:r w:rsidRPr="0076677D">
        <w:tab/>
        <w:t>med beaktande av artikel 102 i arbetsordningen,</w:t>
      </w:r>
    </w:p>
    <w:p w:rsidR="00605C1E" w:rsidRPr="0076677D" w:rsidRDefault="00605C1E" w:rsidP="00605C1E">
      <w:pPr>
        <w:pStyle w:val="NormalHanging12a"/>
        <w:rPr>
          <w:szCs w:val="24"/>
        </w:rPr>
      </w:pPr>
      <w:r w:rsidRPr="0076677D">
        <w:t>–</w:t>
      </w:r>
      <w:r w:rsidRPr="0076677D">
        <w:tab/>
        <w:t>med beaktande av betänkandet från budgetutskottet (A9-0180/2024), och av följande skäl:</w:t>
      </w:r>
    </w:p>
    <w:p w:rsidR="00605C1E" w:rsidRPr="0076677D" w:rsidRDefault="00605C1E" w:rsidP="00605C1E">
      <w:pPr>
        <w:pStyle w:val="Action"/>
        <w:tabs>
          <w:tab w:val="clear" w:pos="357"/>
        </w:tabs>
        <w:spacing w:after="200"/>
        <w:ind w:left="567" w:hanging="567"/>
        <w:outlineLvl w:val="0"/>
        <w:rPr>
          <w:szCs w:val="24"/>
        </w:rPr>
      </w:pPr>
      <w:r w:rsidRPr="0076677D">
        <w:t>A.</w:t>
      </w:r>
      <w:r w:rsidRPr="0076677D">
        <w:tab/>
        <w:t xml:space="preserve">Den budget som generalsekreteraren den 26 februari 2024 föreslog för parlamentets </w:t>
      </w:r>
      <w:r w:rsidRPr="0076677D">
        <w:lastRenderedPageBreak/>
        <w:t xml:space="preserve">preliminära förslag till budgetberäkning för 2025 uppgår till 2 507 233 329 EUR och innebär en ökning med 5,21 % eller 124 132 017 EUR jämfört med 2024 års budget. </w:t>
      </w:r>
    </w:p>
    <w:p w:rsidR="00605C1E" w:rsidRPr="0076677D" w:rsidRDefault="00605C1E" w:rsidP="00605C1E">
      <w:pPr>
        <w:pStyle w:val="Action"/>
        <w:tabs>
          <w:tab w:val="clear" w:pos="357"/>
        </w:tabs>
        <w:spacing w:after="200"/>
        <w:ind w:left="567" w:hanging="567"/>
        <w:outlineLvl w:val="0"/>
        <w:rPr>
          <w:szCs w:val="24"/>
        </w:rPr>
      </w:pPr>
      <w:r w:rsidRPr="0076677D">
        <w:t>B.</w:t>
      </w:r>
      <w:r w:rsidRPr="0076677D">
        <w:tab/>
        <w:t>Kommissionen räknar med att EU:s inflationstakt kommer att ligga på 3 % 2024 och 2,5 % 2025 i sin (preliminära) vinterprognos 2024. Utgiftsnivån i rubrik 7 i den fleråriga budgetramen 2021–2027 baseras på en årlig ökning på 2 %.</w:t>
      </w:r>
    </w:p>
    <w:p w:rsidR="00605C1E" w:rsidRPr="0076677D" w:rsidRDefault="00605C1E" w:rsidP="00605C1E">
      <w:pPr>
        <w:pStyle w:val="Action"/>
        <w:widowControl/>
        <w:tabs>
          <w:tab w:val="clear" w:pos="357"/>
        </w:tabs>
        <w:spacing w:after="200"/>
        <w:ind w:left="567" w:hanging="567"/>
        <w:outlineLvl w:val="0"/>
        <w:rPr>
          <w:szCs w:val="24"/>
        </w:rPr>
      </w:pPr>
      <w:r w:rsidRPr="0076677D">
        <w:t>C.</w:t>
      </w:r>
      <w:r w:rsidRPr="0076677D">
        <w:tab/>
        <w:t xml:space="preserve">Parlamentets trovärdighet beror på dess förmåga att genomföra sitt centrala budget-, lagstiftnings- och kontrollarbete och att utföra det enligt högsta standard, samtidigt som man föregår med gott exempel gentemot andra unionsinstitutioner med avseende på att planera och genomföra sina utgifter på ett försiktigt och effektivt sätt och återspegla den rådande ekonomiska verkligheten. </w:t>
      </w:r>
    </w:p>
    <w:p w:rsidR="00605C1E" w:rsidRPr="0076677D" w:rsidRDefault="00605C1E" w:rsidP="00605C1E">
      <w:pPr>
        <w:pStyle w:val="Action"/>
        <w:tabs>
          <w:tab w:val="clear" w:pos="357"/>
        </w:tabs>
        <w:spacing w:after="200"/>
        <w:ind w:left="567" w:hanging="567"/>
        <w:outlineLvl w:val="0"/>
        <w:rPr>
          <w:szCs w:val="24"/>
        </w:rPr>
      </w:pPr>
      <w:r w:rsidRPr="0076677D">
        <w:t>D.</w:t>
      </w:r>
      <w:r w:rsidRPr="0076677D">
        <w:tab/>
        <w:t>År 2025 kommer att vara det första hela året efter valet, vilket kommer att innebära en återgång till den normala takten både i den politiska verksamheten och i stödverksamheten.</w:t>
      </w:r>
    </w:p>
    <w:p w:rsidR="00605C1E" w:rsidRPr="0076677D" w:rsidRDefault="00605C1E" w:rsidP="00605C1E">
      <w:pPr>
        <w:pStyle w:val="Action"/>
        <w:tabs>
          <w:tab w:val="clear" w:pos="357"/>
        </w:tabs>
        <w:spacing w:after="200"/>
        <w:ind w:left="567" w:hanging="567"/>
        <w:outlineLvl w:val="0"/>
        <w:rPr>
          <w:szCs w:val="24"/>
        </w:rPr>
      </w:pPr>
      <w:r w:rsidRPr="0076677D">
        <w:t xml:space="preserve">E. </w:t>
      </w:r>
      <w:r w:rsidRPr="0076677D">
        <w:tab/>
        <w:t>Europaparlamentet har slutfört sin djupgående reformprocess som inleddes förra året för att å ena sidan se över parlamentets interna arbetsmetoder för att effektivisera det parlamentariska arbetet och å andra sidan stärka parlamentets institutionella roll, vilket leder till ett bättre fungerande parlament som medlagstiftare, som en av budgetmyndighetens båda parter och som ansvarsfrihetsbeviljande myndighet och ökar dess förmåga att utöva demokratisk kontroll.</w:t>
      </w:r>
    </w:p>
    <w:p w:rsidR="00605C1E" w:rsidRPr="0076677D" w:rsidRDefault="00605C1E" w:rsidP="00605C1E">
      <w:pPr>
        <w:tabs>
          <w:tab w:val="left" w:pos="567"/>
        </w:tabs>
        <w:spacing w:after="240"/>
        <w:ind w:left="567" w:hanging="567"/>
        <w:rPr>
          <w:b/>
          <w:bCs/>
          <w:i/>
          <w:iCs/>
          <w:szCs w:val="24"/>
        </w:rPr>
      </w:pPr>
      <w:r w:rsidRPr="0076677D">
        <w:rPr>
          <w:b/>
          <w:i/>
        </w:rPr>
        <w:t>Allmänna ramar</w:t>
      </w:r>
    </w:p>
    <w:p w:rsidR="00605C1E" w:rsidRPr="0076677D" w:rsidRDefault="00605C1E" w:rsidP="00605C1E">
      <w:pPr>
        <w:pStyle w:val="action0"/>
        <w:spacing w:after="200"/>
        <w:ind w:left="567" w:hanging="567"/>
        <w:rPr>
          <w:bCs/>
          <w:iCs/>
        </w:rPr>
      </w:pPr>
      <w:r w:rsidRPr="0076677D">
        <w:t>1.</w:t>
      </w:r>
      <w:r w:rsidRPr="0076677D">
        <w:tab/>
        <w:t>Europaparlamentet är bekymrat över situationen för rubrik 7 i den nuvarande fleråriga budgetramen. Parlamentet påminner om att begränsningarna är resultatet av rådets nedskärningar i kommissionens redan mycket låga ursprungliga förslag när man enades om den nuvarande fleråriga budgetramen 2021–2027. Parlamentet beklagar rådets motstånd mot kommissionens förslag att höja taket för rubrik 7 från och med 2024 i samband med revideringen av den fleråriga budgetramen. Parlamentet påpekar att man inte har tagit itu med frågan om taket för rubrik 7 i revideringen av den fleråriga budgetramen. Parlamentet framhåller att den beräknade negativa marginalen för 2025 förutsätter att de särskilda instrumenten i rubrik 7 används för detta ändamål.</w:t>
      </w:r>
    </w:p>
    <w:p w:rsidR="00605C1E" w:rsidRPr="0076677D" w:rsidRDefault="00605C1E" w:rsidP="00605C1E">
      <w:pPr>
        <w:pStyle w:val="action0"/>
        <w:spacing w:after="200"/>
        <w:ind w:left="567" w:hanging="567"/>
        <w:rPr>
          <w:bCs/>
          <w:iCs/>
        </w:rPr>
      </w:pPr>
      <w:r w:rsidRPr="0076677D">
        <w:t xml:space="preserve">2. </w:t>
      </w:r>
      <w:r w:rsidRPr="0076677D">
        <w:tab/>
        <w:t>Europaparlamentet påminner om att nästan två tredjedelar av budgeten fastställs genom lagstadgade skyldigheter. Parlamentet påminner om att löneindexeringen, i linje med tjänsteföreskrifterna och Europaparlamentets ledamotsstadga, enligt kommissionens beräkningar för närvarande förväntas uppgå till 5,3 % för juli 2024, 0,6 % för april 2025 och 3,7 % för juli 2025. Parlamentet noterar att budgeten för 2024 inbegriper en indexuppräkning av lönerna på 3,4 % från och med juli 2024. Parlamentet noterar att budgetutskottet kommer att övervaka den officiella prognostiserade utvecklingen av löneindexeringen.</w:t>
      </w:r>
    </w:p>
    <w:p w:rsidR="00605C1E" w:rsidRPr="0076677D" w:rsidRDefault="00605C1E" w:rsidP="00605C1E">
      <w:pPr>
        <w:pStyle w:val="action0"/>
        <w:spacing w:after="200"/>
        <w:ind w:left="567" w:hanging="567"/>
        <w:rPr>
          <w:bCs/>
          <w:iCs/>
        </w:rPr>
      </w:pPr>
      <w:r w:rsidRPr="0076677D">
        <w:t>3.</w:t>
      </w:r>
      <w:r w:rsidRPr="0076677D">
        <w:tab/>
        <w:t xml:space="preserve">Europaparlamentet stöder den överenskommelse som nåddes den 9 april 2024 i förlikningen mellan presidiet och budgetutskottet om att fastställa ökningen jämfört med budgeten för 2024 till 4,87 %, vilket motsvarar en total budgetberäkning på 2 499 233 329 EUR för 2025, och att i enlighet med detta minska de föreslagna anslagen för följande budgetposter med totalt 11 000 000 EUR: </w:t>
      </w:r>
    </w:p>
    <w:p w:rsidR="00605C1E" w:rsidRPr="0076677D" w:rsidRDefault="00605C1E" w:rsidP="00605C1E">
      <w:pPr>
        <w:pStyle w:val="action0"/>
        <w:spacing w:after="200"/>
        <w:ind w:left="567" w:firstLine="0"/>
        <w:rPr>
          <w:bCs/>
          <w:iCs/>
        </w:rPr>
      </w:pPr>
      <w:r w:rsidRPr="0076677D">
        <w:t xml:space="preserve">2 0 0 0 — Hyror, 2 0 0 7 — Uppförande av byggnader och inredning av lokaler, 2 3 9 0 — Emas- och hållbarhetsaktiviteter, inklusive marknadsföring och kompensation för </w:t>
      </w:r>
      <w:r w:rsidRPr="0076677D">
        <w:lastRenderedPageBreak/>
        <w:t>koldioxidutsläpp som orsakas av Europaparlamentet, 3 2 4 2 — Utgifter för publicering, information och deltagande i offentliga arrangemang, 3 2 4 3 — Europaparlamentets besökscentrum, 1 0 1 — Reserv för oförutsedda utgifter.</w:t>
      </w:r>
    </w:p>
    <w:p w:rsidR="00605C1E" w:rsidRPr="0076677D" w:rsidRDefault="00605C1E" w:rsidP="00605C1E">
      <w:pPr>
        <w:pStyle w:val="action0"/>
        <w:spacing w:after="200"/>
        <w:ind w:left="567" w:firstLine="0"/>
        <w:rPr>
          <w:bCs/>
          <w:iCs/>
        </w:rPr>
      </w:pPr>
      <w:r w:rsidRPr="0076677D">
        <w:t>Dessutom beslutar parlamentet att öka utgiftsnivån i det preliminära förslaget till budgetberäkning som godkändes av presidiet den 11 mars 2024 med 3 000 000 EUR och att i enlighet med detta öka de föreslagna anslagen för följande budgetposter:</w:t>
      </w:r>
    </w:p>
    <w:p w:rsidR="00605C1E" w:rsidRPr="0076677D" w:rsidRDefault="00605C1E" w:rsidP="00605C1E">
      <w:pPr>
        <w:pStyle w:val="action0"/>
        <w:spacing w:after="200"/>
        <w:ind w:left="567" w:firstLine="0"/>
      </w:pPr>
      <w:r w:rsidRPr="0076677D">
        <w:t>3 2 4 4 — Anordnande av gruppbesök, Euroscola-programmet och inbjudningar till opinionsbildare i icke-medlemsstater, 4 0 3 — Finansiering av europeiska politiska stiftelser.</w:t>
      </w:r>
    </w:p>
    <w:p w:rsidR="00605C1E" w:rsidRPr="0076677D" w:rsidRDefault="00605C1E" w:rsidP="00605C1E">
      <w:pPr>
        <w:pStyle w:val="action0"/>
        <w:spacing w:after="200"/>
        <w:ind w:left="567" w:hanging="567"/>
      </w:pPr>
      <w:r w:rsidRPr="0076677D">
        <w:t>4.</w:t>
      </w:r>
      <w:r w:rsidRPr="0076677D">
        <w:tab/>
        <w:t>Europaparlamentet noterar att av ökningen på 116 miljoner EUR jämfört med 2024 års budget beror en ökning på 98 miljoner EUR på lagstadgade skyldigheter, främst för indexuppräkning av personalens löner (54,7 miljoner EUR) och utgifter för assistentstöd till ledamöterna (33,2 miljoner EUR). Parlamentet noterar att ökningen för icke-lagstadgade utgifter mellan 2024 och 2025 inte överstiger 2 %.</w:t>
      </w:r>
    </w:p>
    <w:p w:rsidR="00605C1E" w:rsidRPr="0076677D" w:rsidRDefault="00605C1E" w:rsidP="00605C1E">
      <w:pPr>
        <w:pStyle w:val="action0"/>
        <w:spacing w:after="200"/>
        <w:ind w:left="567" w:hanging="567"/>
      </w:pPr>
      <w:r w:rsidRPr="0076677D">
        <w:t xml:space="preserve">5. </w:t>
      </w:r>
      <w:r w:rsidRPr="0076677D">
        <w:tab/>
        <w:t>Europaparlamentet noterar att parlamentet inte begär några ytterligare tjänster för 2025.</w:t>
      </w:r>
    </w:p>
    <w:p w:rsidR="00605C1E" w:rsidRPr="0076677D" w:rsidRDefault="00605C1E" w:rsidP="00605C1E">
      <w:pPr>
        <w:pStyle w:val="action0"/>
        <w:spacing w:after="200"/>
        <w:ind w:left="567" w:hanging="567"/>
      </w:pPr>
      <w:r w:rsidRPr="0076677D">
        <w:t xml:space="preserve">6. </w:t>
      </w:r>
      <w:r w:rsidRPr="0076677D">
        <w:tab/>
        <w:t>Europaparlamentet noterar att de 98 fasta tjänster som inrättades i 2023 års budget för att underlätta tillämpningen av artikel 29.4 i tjänsteföreskrifterna har strukits från tjänsteförteckningen för 2025.</w:t>
      </w:r>
    </w:p>
    <w:p w:rsidR="00605C1E" w:rsidRPr="0076677D" w:rsidRDefault="00605C1E" w:rsidP="00605C1E">
      <w:pPr>
        <w:pStyle w:val="Action"/>
        <w:spacing w:after="200"/>
        <w:outlineLvl w:val="0"/>
        <w:rPr>
          <w:b/>
          <w:i/>
          <w:szCs w:val="24"/>
        </w:rPr>
      </w:pPr>
      <w:r w:rsidRPr="0076677D">
        <w:rPr>
          <w:b/>
          <w:i/>
        </w:rPr>
        <w:t xml:space="preserve">Besöksgrupper och Europa </w:t>
      </w:r>
      <w:proofErr w:type="spellStart"/>
      <w:r w:rsidRPr="0076677D">
        <w:rPr>
          <w:b/>
          <w:i/>
        </w:rPr>
        <w:t>Experience</w:t>
      </w:r>
      <w:proofErr w:type="spellEnd"/>
      <w:r w:rsidRPr="0076677D">
        <w:rPr>
          <w:b/>
          <w:i/>
        </w:rPr>
        <w:t>-centrum</w:t>
      </w:r>
    </w:p>
    <w:p w:rsidR="00605C1E" w:rsidRPr="0076677D" w:rsidRDefault="00605C1E" w:rsidP="00605C1E">
      <w:pPr>
        <w:pStyle w:val="action0"/>
        <w:spacing w:after="200"/>
        <w:ind w:left="567" w:hanging="567"/>
      </w:pPr>
      <w:r w:rsidRPr="0076677D">
        <w:t>7.</w:t>
      </w:r>
      <w:r w:rsidRPr="0076677D">
        <w:tab/>
        <w:t>Europaparlamentet påminner om att besöksgrupper på alla parlamentets arbetsorter är ett viktigt verktyg för ledamöterna när det gäller att knyta kontakter med väljarna och visa upp sitt parlamentariska arbete för dem. Parlamentet framhåller att besöksgrupper bidrar till att främja parlamentets roll bland väljare i hela unionen.</w:t>
      </w:r>
    </w:p>
    <w:p w:rsidR="00605C1E" w:rsidRPr="0076677D" w:rsidRDefault="00605C1E" w:rsidP="00605C1E">
      <w:pPr>
        <w:pStyle w:val="action0"/>
        <w:spacing w:after="200"/>
        <w:ind w:left="567" w:hanging="567"/>
      </w:pPr>
      <w:r w:rsidRPr="0076677D">
        <w:t>8.</w:t>
      </w:r>
      <w:r w:rsidRPr="0076677D">
        <w:tab/>
        <w:t xml:space="preserve">Europaparlamentet noterar med oro de allt större svårigheterna med att anordna sådana besök på grund av de ekonomiska begränsningarna i den befintliga budgeten, särskilt för ledamöter från medlemsstater som ligger långt från Bryssel och Strasbourg. Parlamentet efterlyser tillräcklig finansiering för att täcka utgifter i samband med resor och logi, med hänsyn till inflationstakten och priserna, både i besöksgruppernas ursprungsländer och i Bryssel och Strasbourg. Parlamentet anser att en ökning med 10 % av tilldelningen per person är nödvändig för att ta itu med de rådande förhållandena. Parlamentet uppmanar generalsekreteraren att så snart som möjligt föreslå kvestorerna en höjning av taken för de kostnader som täcks för att kunna fortsätta och öka ledamöternas stöd och göra det möjligt för besöksgrupper att besöka parlamentet. </w:t>
      </w:r>
    </w:p>
    <w:p w:rsidR="00605C1E" w:rsidRPr="0076677D" w:rsidRDefault="00605C1E" w:rsidP="00605C1E">
      <w:pPr>
        <w:pStyle w:val="action0"/>
        <w:spacing w:after="200"/>
        <w:ind w:left="567" w:hanging="567"/>
      </w:pPr>
      <w:r w:rsidRPr="0076677D">
        <w:t>9.</w:t>
      </w:r>
      <w:r w:rsidRPr="0076677D">
        <w:tab/>
        <w:t>Europaparlamentet noterar med oro de interna bestämmelserna om ledamöternas besöksgrupper, som leder till att 30 % av de initiala kostnaderna under vissa omständigheter måste bäras av ackrediterade assistenter. Parlamentet betonar att dessa bestämmelser inte är möjliga att genomföra och framhåller den ekonomiska börda som detta medför för ackrediterade assistenter. Parlamentet uppmanar presidiet att se över och uppdatera sina befintliga besöksbestämmelser för att komma till rätta med svårigheterna i samband med planering och anordnande av besök.</w:t>
      </w:r>
    </w:p>
    <w:p w:rsidR="00605C1E" w:rsidRPr="0076677D" w:rsidRDefault="00605C1E" w:rsidP="00605C1E">
      <w:pPr>
        <w:pStyle w:val="NormalHanging12a"/>
        <w:spacing w:after="200"/>
        <w:rPr>
          <w:szCs w:val="24"/>
        </w:rPr>
      </w:pPr>
      <w:r w:rsidRPr="0076677D">
        <w:t>10.</w:t>
      </w:r>
      <w:r w:rsidRPr="0076677D">
        <w:tab/>
        <w:t xml:space="preserve">Europaparlamentet påminner om presidiets beslut av den 25 november 2019 om att inrätta Europa </w:t>
      </w:r>
      <w:proofErr w:type="spellStart"/>
      <w:r w:rsidRPr="0076677D">
        <w:t>Experience</w:t>
      </w:r>
      <w:proofErr w:type="spellEnd"/>
      <w:r w:rsidRPr="0076677D">
        <w:t xml:space="preserve">-centrum i alla medlemsstater före utgången av 2024. </w:t>
      </w:r>
      <w:r w:rsidRPr="0076677D">
        <w:lastRenderedPageBreak/>
        <w:t xml:space="preserve">Parlamentet beklagar förseningarna med att inrätta Europa </w:t>
      </w:r>
      <w:proofErr w:type="spellStart"/>
      <w:r w:rsidRPr="0076677D">
        <w:t>Experience</w:t>
      </w:r>
      <w:proofErr w:type="spellEnd"/>
      <w:r w:rsidRPr="0076677D">
        <w:t>-centrum i alla medlemsstater före valet till Europaparlamentet 2024, och noterar att endast tolv centrum för närvarande är i drift. Parlamentet erkänner att ett antal externa faktorer, bland annat volatiliteten på fastighetsmarknaderna, har bidragit till dessa förseningar.</w:t>
      </w:r>
    </w:p>
    <w:p w:rsidR="00605C1E" w:rsidRPr="0076677D" w:rsidRDefault="00605C1E" w:rsidP="00605C1E">
      <w:pPr>
        <w:pStyle w:val="action0"/>
        <w:spacing w:after="200"/>
        <w:ind w:left="567" w:hanging="567"/>
      </w:pPr>
      <w:r w:rsidRPr="0076677D">
        <w:t>11.</w:t>
      </w:r>
      <w:r w:rsidRPr="0076677D">
        <w:tab/>
        <w:t xml:space="preserve">Europaparlamentet noterar att enligt planen ska fem centrum öppnas under 2025 (i Aten, Zagreb, Haag, Sofia och Budapest). Parlamentet efterlyser inrättandet av Europa </w:t>
      </w:r>
      <w:proofErr w:type="spellStart"/>
      <w:r w:rsidRPr="0076677D">
        <w:t>Experience</w:t>
      </w:r>
      <w:proofErr w:type="spellEnd"/>
      <w:r w:rsidRPr="0076677D">
        <w:t xml:space="preserve">-centrum i alla medlemsstater så snart som möjligt. Parlamentet påminner om att Europa </w:t>
      </w:r>
      <w:proofErr w:type="spellStart"/>
      <w:r w:rsidRPr="0076677D">
        <w:t>Experience</w:t>
      </w:r>
      <w:proofErr w:type="spellEnd"/>
      <w:r w:rsidRPr="0076677D">
        <w:t>-centrum skulle göra det möjligt för alla medborgare att få en bättre förståelse för hur unionens institutioner fungerar.</w:t>
      </w:r>
    </w:p>
    <w:p w:rsidR="00605C1E" w:rsidRPr="0076677D" w:rsidRDefault="00605C1E" w:rsidP="00605C1E">
      <w:pPr>
        <w:pStyle w:val="Action"/>
        <w:keepNext/>
        <w:spacing w:after="200"/>
        <w:outlineLvl w:val="0"/>
        <w:rPr>
          <w:b/>
          <w:bCs/>
          <w:i/>
          <w:szCs w:val="24"/>
        </w:rPr>
      </w:pPr>
      <w:r w:rsidRPr="0076677D">
        <w:rPr>
          <w:b/>
          <w:i/>
        </w:rPr>
        <w:t>Infrastruktur</w:t>
      </w:r>
    </w:p>
    <w:p w:rsidR="00605C1E" w:rsidRPr="0076677D" w:rsidRDefault="00605C1E" w:rsidP="00605C1E">
      <w:pPr>
        <w:pStyle w:val="action0"/>
        <w:spacing w:after="200"/>
        <w:ind w:left="567" w:hanging="567"/>
      </w:pPr>
      <w:r w:rsidRPr="0076677D">
        <w:t xml:space="preserve">12. </w:t>
      </w:r>
      <w:r w:rsidRPr="0076677D">
        <w:tab/>
        <w:t>Europaparlamentet noterar att budgetutskottet godkände presidiets beslut att genomföra en omfattande renovering av Spaak-byggnaden, i linje med parlamentets resolution av den 19 oktober 2022 om rådets ståndpunkt om förslaget till Europeiska unionens allmänna budget för budgetåret 2023</w:t>
      </w:r>
      <w:r w:rsidRPr="0076677D">
        <w:rPr>
          <w:rStyle w:val="FootnoteReference"/>
        </w:rPr>
        <w:footnoteReference w:id="14"/>
      </w:r>
      <w:r w:rsidRPr="0076677D">
        <w:t>. Parlamentet betonar att den nuvarande byggnaden har en mycket låg energieffektivitetsklassificering och saknar välbehövlig flexibilitet för att vara ändamålsenlig. Parlamentet framhåller att parlamentet bör förvalta sin egen fastighetsportfölj när det gäller energieffektivitet och hållbarhet för att anpassa sig till målen i den gröna given. Parlamentet noterar att renoveringen kommer att leda till betydande årliga besparingar och minskningar av koldioxidutsläpp och bidra till att uppfylla kraven i det reviderade direktivet om energieffektivitet och direktivet om byggnaders energiprestanda. Parlamentet påminner presidiet om att det behövs transparens, ordentlig information och samråd med budgetutskottet, inbegripet tillgång till omfattande detaljer, innan något viktigt beslut fattas om fastighetsrelaterade frågor och om finansieringen av fastigheter på grund av deras betydande budgetkonsekvenser.</w:t>
      </w:r>
    </w:p>
    <w:p w:rsidR="00605C1E" w:rsidRPr="0076677D" w:rsidRDefault="00605C1E" w:rsidP="00605C1E">
      <w:pPr>
        <w:pStyle w:val="action0"/>
        <w:spacing w:after="200"/>
        <w:ind w:left="567" w:hanging="567"/>
      </w:pPr>
      <w:r w:rsidRPr="0076677D">
        <w:t>13.</w:t>
      </w:r>
      <w:r w:rsidRPr="0076677D">
        <w:tab/>
        <w:t xml:space="preserve">Europaparlamentet erkänner behovet av att under 2025 inleda renoveringsarbetet i TREVES II-byggnaden för att göra det lättare att hitta tillfälliga kontor till personal som kommer att flyttas som ett led i renoveringen av Spaak-byggnaden. </w:t>
      </w:r>
    </w:p>
    <w:p w:rsidR="00605C1E" w:rsidRPr="0076677D" w:rsidRDefault="00605C1E" w:rsidP="00605C1E">
      <w:pPr>
        <w:pStyle w:val="NormalHanging12a"/>
        <w:rPr>
          <w:szCs w:val="24"/>
        </w:rPr>
      </w:pPr>
      <w:r w:rsidRPr="0076677D">
        <w:t>14.</w:t>
      </w:r>
      <w:r w:rsidRPr="0076677D">
        <w:tab/>
        <w:t>Europaparlamentet välkomnar parlamentets policy som syftar till att säkerställa att personer med funktionsnedsättning kan använda parlamentets byggnader på ett helt oberoende sätt, och stöder ytterligare åtgärder och anpassningar som kommer att bli nödvändiga i detta avseende. Parlamentet erkänner behovet av att göra det lättare för personer med funktionsnedsättning att få tillgång till plenisalen i Strasbourg.</w:t>
      </w:r>
    </w:p>
    <w:p w:rsidR="00605C1E" w:rsidRPr="0076677D" w:rsidRDefault="00605C1E" w:rsidP="00605C1E">
      <w:pPr>
        <w:pStyle w:val="action0"/>
        <w:spacing w:after="200"/>
        <w:ind w:left="567" w:hanging="567"/>
      </w:pPr>
      <w:r w:rsidRPr="0076677D">
        <w:t>15.</w:t>
      </w:r>
      <w:r w:rsidRPr="0076677D">
        <w:tab/>
        <w:t xml:space="preserve">Europaparlamentet påminner om att parlamentets administration för närvarande arbetar med en övergripande strategi för att fastställa parlamentets långsiktiga fastighetspolitik med särskilt beaktande av miljöskyldigheter, kostnader och budgetbegränsningar, energieffektivitet och avfallshantering i linje med 55 %-paketet och förväntar sig att resultaten offentliggörs. Parlamentet efterlyser en utvärdering av de flexibla arbetssätt som har uppstått till följd av pandemin, samtidigt som man erkänner att fysisk närvaro för politiska förhandlingar, debatter eller åsiktsutbyten fortfarande är effektivare för det offentliga beslutsfattandet. </w:t>
      </w:r>
    </w:p>
    <w:p w:rsidR="00605C1E" w:rsidRPr="0076677D" w:rsidRDefault="00605C1E" w:rsidP="00605C1E">
      <w:pPr>
        <w:pStyle w:val="action0"/>
        <w:spacing w:after="200"/>
        <w:ind w:left="567" w:hanging="567"/>
      </w:pPr>
      <w:r w:rsidRPr="0076677D">
        <w:t xml:space="preserve">16. </w:t>
      </w:r>
      <w:r w:rsidRPr="0076677D">
        <w:tab/>
        <w:t xml:space="preserve">Europaparlamentet noterar praxisen att använda anslag som inte utnyttjats vid årets slut (uppsamlingsöverföring) till pågående fastighetsprojekt. Parlamentet noterar att sådana uppsamlingsöverföringar görs systematiskt inom samma kapitel och avdelningar, och </w:t>
      </w:r>
      <w:r w:rsidRPr="0076677D">
        <w:lastRenderedPageBreak/>
        <w:t>ofta under exakt samma budgetposter. Parlamentet noterar att det årliga förfarandet med uppsamlingsöverföringar också kan tjäna andra syften än att finansiera byggnadsrelaterade projekt.</w:t>
      </w:r>
    </w:p>
    <w:p w:rsidR="00605C1E" w:rsidRPr="0076677D" w:rsidRDefault="00605C1E" w:rsidP="00605C1E">
      <w:pPr>
        <w:pStyle w:val="action0"/>
        <w:spacing w:after="200"/>
        <w:ind w:left="567" w:hanging="567"/>
      </w:pPr>
      <w:r w:rsidRPr="0076677D">
        <w:t>17.</w:t>
      </w:r>
      <w:r w:rsidRPr="0076677D">
        <w:tab/>
        <w:t>Europaparlamentet välkomnar de fortsatta insatser och åtgärder som vidtagits av parlamentet för att minska parlamentets miljöavtryck. Parlamentet upprepar sitt fulla stöd för målen för parlamentets miljöledningssystem (Emas) för 2024. Parlamentet förväntar sig att parlamentet uppnår alla mål för nyckelprestationsindikatorerna för Emas senast i slutet av 2024 och att det antar nya ambitiösa mål för de kommande åren. Parlamentet noterar särskilt ett antal framsteg i detta avseende, bland annat en minskning av koldioxidutsläppen med 44 % sedan 2006, en minskning med 66 % av pappersanvändningen jämfört med 2014, den höga andel av personalen som går eller cyklar till arbetet, betydande minskningar av användningen av plast och den framgångsrika utbyggnaden av infrastruktur för förnybar energi, som innebar att parlamentet under 2023 genererade 458 MWh solenergi.</w:t>
      </w:r>
    </w:p>
    <w:p w:rsidR="00605C1E" w:rsidRPr="0076677D" w:rsidRDefault="00605C1E" w:rsidP="00605C1E">
      <w:pPr>
        <w:pStyle w:val="action0"/>
        <w:spacing w:after="200"/>
        <w:ind w:left="567" w:hanging="567"/>
      </w:pPr>
      <w:r w:rsidRPr="0076677D">
        <w:t>18.</w:t>
      </w:r>
      <w:r w:rsidRPr="0076677D">
        <w:tab/>
        <w:t>Europaparlamentet noterar de ökade priserna på koldioxidkrediter. Parlamentet påminner om att investeringar i energieffektivitet är en bra metod för att uppnå valuta för pengarna. Parlamentet välkomnar och uppmuntrar investeringarna i förnybar energi och utfasningen av fossila bränslen, särskilt med tanke på energikrisen och det geopolitiska sammanhanget, och vill se att detta återspeglas i nästa fleråriga fastighetsstrategi. Parlamentet noterar att parlamentet dessutom har installerat och fortsätter att installera solcellspaneler för att ytterligare öka andelen förnybar energi som produceras på plats för att nå målet på 25 %. Parlamentet påminner om att nästan två tredjedelar av parlamentets koldioxidavtryck härrör från persontransporter. Parlamentet välkomnar parlamentets insatser för att minska koldioxidutsläppen genom chartrade tåg och efterlyser ökade möjligheter att göra resor mellan de tre arbetsorterna med tåg.</w:t>
      </w:r>
    </w:p>
    <w:p w:rsidR="00605C1E" w:rsidRPr="0076677D" w:rsidRDefault="00605C1E" w:rsidP="00605C1E">
      <w:pPr>
        <w:pStyle w:val="Action"/>
        <w:keepNext/>
        <w:spacing w:after="200"/>
        <w:outlineLvl w:val="0"/>
        <w:rPr>
          <w:b/>
          <w:i/>
          <w:szCs w:val="24"/>
        </w:rPr>
      </w:pPr>
      <w:r w:rsidRPr="0076677D">
        <w:rPr>
          <w:b/>
          <w:i/>
        </w:rPr>
        <w:t>Övriga frågor</w:t>
      </w:r>
    </w:p>
    <w:p w:rsidR="00605C1E" w:rsidRPr="0076677D" w:rsidRDefault="00605C1E" w:rsidP="00605C1E">
      <w:pPr>
        <w:pStyle w:val="action0"/>
        <w:spacing w:after="200"/>
        <w:ind w:left="567" w:hanging="567"/>
      </w:pPr>
      <w:r w:rsidRPr="0076677D">
        <w:t>19.</w:t>
      </w:r>
      <w:r w:rsidRPr="0076677D">
        <w:tab/>
        <w:t>Europaparlamentet påminner om den pågående kamp som unionen är involverad i för att skydda europeiska värden och upprätthålla integriteten i våra demokratiska processer. Parlamentet välkomnar de åtgärder som parlamentet vidtagit i detta avseende för att bekämpa desinformation och informationsmanipulering. Parlamentet uppmanar GD COMM och förbindelsekontoren att fortsätta att utveckla och genomföra effektiva strategier för att motverka desinformation och informationsmanipulering. Parlamentet framhåller att ett av de kraftfullaste vapnen mot desinformation är positiv, faktabaserad kommunikation om parlamentets verksamhet.</w:t>
      </w:r>
    </w:p>
    <w:p w:rsidR="00605C1E" w:rsidRPr="0076677D" w:rsidRDefault="00605C1E" w:rsidP="00605C1E">
      <w:pPr>
        <w:pStyle w:val="action0"/>
        <w:spacing w:after="200"/>
        <w:ind w:left="567" w:hanging="567"/>
        <w:rPr>
          <w:rFonts w:eastAsia="Times New Roman"/>
        </w:rPr>
      </w:pPr>
      <w:r w:rsidRPr="0076677D">
        <w:t>20.</w:t>
      </w:r>
      <w:r w:rsidRPr="0076677D">
        <w:tab/>
        <w:t xml:space="preserve">Europaparlamentet påminner om att det till fullo stöder flerspråkighet och främjar nationella, regionala och språkliga minoriteters rättigheter. Parlamentet anser att det aktivt kan bidra till kampen mot desinformation genom att fördjupa sin kommunikation även på de språk som talas av språkliga minoriteter och samhällen, när så är lämpligt. Parlamentet uppmanar presidiet att utöka parlamentets produktion och spridning av kommunikationsmaterial för att tillgodose behoven hos nationella, regionala och språkliga minoriteter i medlemsstaterna, till exempel i förbindelsekontoren och Europa </w:t>
      </w:r>
      <w:proofErr w:type="spellStart"/>
      <w:r w:rsidRPr="0076677D">
        <w:t>Experience</w:t>
      </w:r>
      <w:proofErr w:type="spellEnd"/>
      <w:r w:rsidRPr="0076677D">
        <w:t xml:space="preserve">-centrum, som ett sätt att bekämpa språkliga skillnader som ett hinder för sammanhållningen. Parlamentet påminner i detta avseende om de insatser som gjorts av förbindelsekontoren i de baltiska länderna för att tillhandahålla information till ukrainska och ryska medborgare sedan det ryska anfallskriget i Ukraina inleddes, med särskilt fokus på att motverka rysk desinformation och propaganda. Parlamentet understryker vikten av att förbindelsekontoren aktivt deltar i genomförandet av </w:t>
      </w:r>
      <w:r w:rsidRPr="0076677D">
        <w:lastRenderedPageBreak/>
        <w:t>parlamentets arbete med medborgarutbildning genom flera program som involverar lokalsamhällen, skolor och universitet.</w:t>
      </w:r>
    </w:p>
    <w:p w:rsidR="00605C1E" w:rsidRPr="0076677D" w:rsidRDefault="00605C1E" w:rsidP="00605C1E">
      <w:pPr>
        <w:pStyle w:val="action0"/>
        <w:spacing w:after="200"/>
        <w:ind w:left="567" w:hanging="567"/>
      </w:pPr>
      <w:r w:rsidRPr="0076677D">
        <w:t>21.</w:t>
      </w:r>
      <w:r w:rsidRPr="0076677D">
        <w:tab/>
        <w:t xml:space="preserve">Europaparlamentet understryker potentialen hos artificiell intelligens (AI) för att stödja ledamöterna i utövandet av deras mandat och för olika verksamheter inom parlamentets administration. Parlamentet välkomnar att AI-projekt redan är på gång för 2025. </w:t>
      </w:r>
    </w:p>
    <w:p w:rsidR="00605C1E" w:rsidRPr="0076677D" w:rsidRDefault="00605C1E" w:rsidP="00605C1E">
      <w:pPr>
        <w:pStyle w:val="action0"/>
        <w:spacing w:after="200"/>
        <w:ind w:left="567" w:hanging="567"/>
      </w:pPr>
      <w:r w:rsidRPr="0076677D">
        <w:t>22.</w:t>
      </w:r>
      <w:r w:rsidRPr="0076677D">
        <w:tab/>
        <w:t>Europaparlamentet stöder generalsekreterarens tillkännagivande i budgetutskottet om att minska den administrativa bördan och byråkratin för ledamöterna och deras kontor och samtidigt påskynda digitaliseringen av processerna inom administrationen. Parlamentet betonar att investeringar i digitalisering ger avkastning på investeringar på medellång sikt och inte bör försenas för kortsiktiga kostnadsbesparingar.</w:t>
      </w:r>
    </w:p>
    <w:p w:rsidR="00605C1E" w:rsidRPr="0076677D" w:rsidRDefault="00605C1E" w:rsidP="00605C1E">
      <w:pPr>
        <w:pStyle w:val="action0"/>
        <w:spacing w:after="200"/>
        <w:ind w:left="567" w:hanging="567"/>
      </w:pPr>
      <w:r w:rsidRPr="0076677D">
        <w:t>23.</w:t>
      </w:r>
      <w:r w:rsidRPr="0076677D">
        <w:tab/>
        <w:t>Europaparlamentet uppmanas att fortsätta att genomföra regelbundna utvärderingar av hur dess personalbehov är organiserat för att optimera fördelningen av personal vid parlamentets generalsekretariat, särskilt genom att omfördela lediga tjänster mellan de olika tjänsterna för att i så stor utsträckning som möjligt upprätthålla en konstant personalstyrka. Parlamentet uppmanar generalsekreteraren att bedöma riskerna med att anställa allt fler kontraktsanställda, bland annat faran för att en tudelad personalstruktur skapas inom parlamentet. Parlamentet insisterar på att centrala tjänster och uppgifter bör utföras av fast anställd personal.</w:t>
      </w:r>
    </w:p>
    <w:p w:rsidR="00605C1E" w:rsidRPr="0076677D" w:rsidRDefault="00605C1E" w:rsidP="00605C1E">
      <w:pPr>
        <w:pStyle w:val="action0"/>
        <w:spacing w:after="200"/>
        <w:ind w:left="567" w:hanging="567"/>
      </w:pPr>
      <w:r w:rsidRPr="0076677D">
        <w:t>24.</w:t>
      </w:r>
      <w:r w:rsidRPr="0076677D">
        <w:tab/>
        <w:t>Europaparlamentet framhåller att säkerställandet av en rättvis geografisk balans är en viktig del i skapandet av en verkligt europeisk offentlig tjänst. Parlamentet påpekar att parlamentet under årens lopp har vidtagit ett antal åtgärder i detta avseende. Parlamentet noterar att det fortfarande finns utrymme för förbättringar. Parlamentet noterar att presidiet har skapat den rättsliga ramen för anordnandet av nationalitetsspecifika uttagningsprov och beslutat att anordna det första av dessa uttagningsprov. Parlamentet framhåller att uttagningsprov alltid bör baseras på meriter.</w:t>
      </w:r>
    </w:p>
    <w:p w:rsidR="00605C1E" w:rsidRPr="0076677D" w:rsidRDefault="00605C1E" w:rsidP="00605C1E">
      <w:pPr>
        <w:pStyle w:val="action0"/>
        <w:spacing w:after="200"/>
        <w:ind w:left="567" w:hanging="567"/>
      </w:pPr>
      <w:r w:rsidRPr="0076677D">
        <w:t>25.</w:t>
      </w:r>
      <w:r w:rsidRPr="0076677D">
        <w:tab/>
        <w:t>Europaparlamentet noterar det förfarande som redan finns för begäranden från en användare från ett parlamentariskt organ om internationell teckenspråkstolkning vid ett sammanträde. Parlamentet uppmanar generalsekreteraren att fortsätta att utforska andra möjligheter, såsom verktyg för att omvandla tal till text och maskinöversättningsverktyg, med respekt för principen om lika tillgång för alla medborgare.</w:t>
      </w:r>
    </w:p>
    <w:p w:rsidR="00605C1E" w:rsidRPr="0076677D" w:rsidRDefault="00605C1E" w:rsidP="00605C1E">
      <w:pPr>
        <w:pStyle w:val="action0"/>
        <w:spacing w:after="200"/>
        <w:ind w:left="567" w:hanging="567"/>
      </w:pPr>
      <w:r w:rsidRPr="0076677D">
        <w:t>26.</w:t>
      </w:r>
      <w:r w:rsidRPr="0076677D">
        <w:tab/>
        <w:t xml:space="preserve">Europaparlamentet upprepar sin begäran, som antagits på </w:t>
      </w:r>
      <w:proofErr w:type="spellStart"/>
      <w:r w:rsidRPr="0076677D">
        <w:t>plenarnivå</w:t>
      </w:r>
      <w:proofErr w:type="spellEnd"/>
      <w:r w:rsidRPr="0076677D">
        <w:t xml:space="preserve"> vid flera tillfällen, till presidiet om att inleda arbetet med översynen av arbetsordningen för att göra det möjligt för ledamöterna att utöva sin rätt att rösta på distans under mamma- eller pappaledighet, vid långvarig sjukdom eller vid force majeure, genom att dra nytta av de lärdomar som dragits under pandemin när det gäller de tekniska aspekterna av denna omröstningsmetod.</w:t>
      </w:r>
    </w:p>
    <w:p w:rsidR="00AC50FA" w:rsidRDefault="00605C1E" w:rsidP="00605C1E">
      <w:pPr>
        <w:pStyle w:val="action0"/>
        <w:spacing w:after="200"/>
        <w:ind w:left="567" w:hanging="567"/>
      </w:pPr>
      <w:r w:rsidRPr="0076677D">
        <w:t>27.</w:t>
      </w:r>
      <w:r w:rsidRPr="0076677D">
        <w:tab/>
        <w:t>Europaparlamentet upprepar sin uppmaning till presidiet att garantera att alla restauranger inom parlamentet upprätthåller sina standarder när det gäller kvalitet, effektivitet och överkomliga priser, och att återinföra tillträdeskontroller vid ingångarna till självbetjäningsrestaurangen under tider med hög belastning. Parlamentet välkomnar införandet av tillträdeskontroller vid ingången till självbetjäningsrestaurangen i WEISS-byggnaden i Strasbourg under sammanträdesperioderna.</w:t>
      </w:r>
    </w:p>
    <w:p w:rsidR="00605C1E" w:rsidRPr="0076677D" w:rsidRDefault="00AC50FA" w:rsidP="00605C1E">
      <w:pPr>
        <w:pStyle w:val="action0"/>
        <w:spacing w:after="200"/>
        <w:ind w:left="567" w:hanging="567"/>
      </w:pPr>
      <w:r>
        <w:lastRenderedPageBreak/>
        <w:t>28.</w:t>
      </w:r>
      <w:r>
        <w:tab/>
      </w:r>
      <w:r w:rsidR="000027AF" w:rsidRPr="000027AF">
        <w:t>Europaparlamentet efterlyser ett genuint engagemang för förverkligandet av principen om flerspråkighet.</w:t>
      </w:r>
    </w:p>
    <w:p w:rsidR="00605C1E" w:rsidRPr="0076677D" w:rsidRDefault="00605C1E" w:rsidP="00605C1E">
      <w:pPr>
        <w:pStyle w:val="action0"/>
        <w:spacing w:after="200"/>
        <w:ind w:left="567" w:hanging="567"/>
      </w:pPr>
      <w:r w:rsidRPr="0076677D">
        <w:t>2</w:t>
      </w:r>
      <w:r w:rsidR="00AC50FA">
        <w:t>9</w:t>
      </w:r>
      <w:r w:rsidRPr="0076677D">
        <w:t>.</w:t>
      </w:r>
      <w:r w:rsidRPr="0076677D">
        <w:tab/>
        <w:t>Europaparlamentet upprepar sin uppmaning till talmanskonferensen och presidiet att se över genomförandebestämmelserna för delegationernas verksamhet och uppdrag utanför unionen. Parlamentet understryker att en sådan revidering bör beakta möjligheten för ackrediterade assistenter att på vissa villkor följa med ledamöter på parlamentets officiella delegationsresor och på officiella uppdrag. Parlamentet framhåller att denna ändring inte skulle leda till någon ändring av anslaget och att den skulle vara budgetneutral.</w:t>
      </w:r>
    </w:p>
    <w:p w:rsidR="00605C1E" w:rsidRPr="0076677D" w:rsidRDefault="00AC50FA" w:rsidP="00605C1E">
      <w:pPr>
        <w:pStyle w:val="action0"/>
        <w:spacing w:after="200"/>
        <w:ind w:left="567" w:hanging="567"/>
      </w:pPr>
      <w:r>
        <w:t>30</w:t>
      </w:r>
      <w:r w:rsidR="00605C1E" w:rsidRPr="0076677D">
        <w:t>.</w:t>
      </w:r>
      <w:r w:rsidR="00605C1E" w:rsidRPr="0076677D">
        <w:tab/>
        <w:t>Europaparlamentet förväntar sig att genomförandet av begäranden som röstats igenom i kammaren ges hög prioritet.</w:t>
      </w:r>
    </w:p>
    <w:p w:rsidR="00605C1E" w:rsidRPr="0076677D" w:rsidRDefault="00605C1E" w:rsidP="00605C1E">
      <w:pPr>
        <w:pStyle w:val="NormalHanging12a"/>
        <w:widowControl/>
        <w:tabs>
          <w:tab w:val="left" w:pos="567"/>
        </w:tabs>
        <w:rPr>
          <w:snapToGrid w:val="0"/>
          <w:szCs w:val="24"/>
        </w:rPr>
      </w:pPr>
    </w:p>
    <w:p w:rsidR="00605C1E" w:rsidRPr="0076677D" w:rsidRDefault="00605C1E" w:rsidP="00605C1E">
      <w:pPr>
        <w:widowControl/>
        <w:tabs>
          <w:tab w:val="left" w:pos="567"/>
        </w:tabs>
        <w:spacing w:after="240"/>
        <w:ind w:left="567" w:hanging="567"/>
        <w:jc w:val="center"/>
        <w:rPr>
          <w:szCs w:val="24"/>
        </w:rPr>
      </w:pPr>
      <w:r w:rsidRPr="0076677D">
        <w:t>°</w:t>
      </w:r>
    </w:p>
    <w:p w:rsidR="00605C1E" w:rsidRPr="0076677D" w:rsidRDefault="00605C1E" w:rsidP="00605C1E">
      <w:pPr>
        <w:widowControl/>
        <w:tabs>
          <w:tab w:val="left" w:pos="567"/>
        </w:tabs>
        <w:spacing w:after="240"/>
        <w:ind w:left="567" w:hanging="567"/>
        <w:jc w:val="center"/>
        <w:rPr>
          <w:szCs w:val="24"/>
        </w:rPr>
      </w:pPr>
      <w:r w:rsidRPr="0076677D">
        <w:t>°         °</w:t>
      </w:r>
    </w:p>
    <w:p w:rsidR="00605C1E" w:rsidRPr="0076677D" w:rsidRDefault="00605C1E" w:rsidP="00605C1E">
      <w:pPr>
        <w:pStyle w:val="action0"/>
        <w:spacing w:before="200" w:after="200"/>
        <w:ind w:left="567" w:hanging="567"/>
      </w:pPr>
      <w:r w:rsidRPr="0076677D">
        <w:t>3</w:t>
      </w:r>
      <w:r w:rsidR="00AC50FA">
        <w:t>1</w:t>
      </w:r>
      <w:r w:rsidRPr="0076677D">
        <w:t>.</w:t>
      </w:r>
      <w:r w:rsidRPr="0076677D">
        <w:tab/>
        <w:t>Europaparlamentet antar budgetberäkningen för budgetåret 2025.</w:t>
      </w:r>
    </w:p>
    <w:p w:rsidR="00605C1E" w:rsidRPr="0076677D" w:rsidRDefault="00605C1E" w:rsidP="00605C1E">
      <w:pPr>
        <w:pStyle w:val="action0"/>
        <w:spacing w:after="200"/>
        <w:ind w:left="567" w:hanging="567"/>
      </w:pPr>
      <w:r w:rsidRPr="0076677D">
        <w:t>3</w:t>
      </w:r>
      <w:r w:rsidR="00AC50FA">
        <w:t>2</w:t>
      </w:r>
      <w:r w:rsidRPr="0076677D">
        <w:t>.</w:t>
      </w:r>
      <w:r w:rsidRPr="0076677D">
        <w:tab/>
        <w:t>Europaparlamentet uppdrar åt talmannen att översända denna resolution och budgetberäkningen till rådet och kommissionen.</w:t>
      </w:r>
    </w:p>
    <w:p w:rsidR="00605C1E" w:rsidRPr="0076677D" w:rsidRDefault="00605C1E" w:rsidP="00605C1E">
      <w:pPr>
        <w:spacing w:line="200" w:lineRule="exact"/>
        <w:rPr>
          <w:rFonts w:eastAsia="Calibri"/>
          <w:sz w:val="22"/>
          <w:szCs w:val="22"/>
        </w:rPr>
      </w:pPr>
    </w:p>
    <w:p w:rsidR="00605C1E" w:rsidRPr="0076677D" w:rsidRDefault="00605C1E" w:rsidP="00605C1E">
      <w:pPr>
        <w:spacing w:line="200" w:lineRule="exact"/>
        <w:rPr>
          <w:sz w:val="22"/>
          <w:szCs w:val="22"/>
        </w:rPr>
      </w:pPr>
    </w:p>
    <w:sectPr w:rsidR="00605C1E" w:rsidRPr="0076677D" w:rsidSect="0076677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44E8" w:rsidRPr="0076677D" w:rsidRDefault="00BF44E8">
      <w:r w:rsidRPr="0076677D">
        <w:separator/>
      </w:r>
    </w:p>
  </w:endnote>
  <w:endnote w:type="continuationSeparator" w:id="0">
    <w:p w:rsidR="00BF44E8" w:rsidRPr="0076677D" w:rsidRDefault="00BF44E8">
      <w:r w:rsidRPr="007667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44E8" w:rsidRPr="0076677D" w:rsidRDefault="00BF44E8"/>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44E8" w:rsidRPr="0076677D" w:rsidRDefault="00BF44E8"/>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44E8" w:rsidRPr="0076677D" w:rsidRDefault="00BF44E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44E8" w:rsidRPr="0076677D" w:rsidRDefault="00BF44E8">
      <w:r w:rsidRPr="0076677D">
        <w:separator/>
      </w:r>
    </w:p>
  </w:footnote>
  <w:footnote w:type="continuationSeparator" w:id="0">
    <w:p w:rsidR="00BF44E8" w:rsidRPr="0076677D" w:rsidRDefault="00BF44E8">
      <w:r w:rsidRPr="0076677D">
        <w:continuationSeparator/>
      </w:r>
    </w:p>
  </w:footnote>
  <w:footnote w:id="1">
    <w:p w:rsidR="00BF44E8" w:rsidRPr="0076677D" w:rsidRDefault="00BF44E8" w:rsidP="0076677D">
      <w:pPr>
        <w:pStyle w:val="FootnoteText"/>
        <w:ind w:left="567" w:hanging="567"/>
        <w:rPr>
          <w:sz w:val="24"/>
          <w:lang w:val="sv-SE"/>
        </w:rPr>
      </w:pPr>
      <w:r w:rsidRPr="0076677D">
        <w:rPr>
          <w:rStyle w:val="FootnoteReference"/>
          <w:sz w:val="24"/>
          <w:lang w:val="sv-SE"/>
        </w:rPr>
        <w:footnoteRef/>
      </w:r>
      <w:r w:rsidRPr="0076677D">
        <w:rPr>
          <w:sz w:val="24"/>
          <w:lang w:val="sv-SE"/>
        </w:rPr>
        <w:t xml:space="preserve"> </w:t>
      </w:r>
      <w:r w:rsidRPr="0076677D">
        <w:rPr>
          <w:sz w:val="24"/>
          <w:lang w:val="sv-SE"/>
        </w:rPr>
        <w:tab/>
        <w:t>EUT L 193, 30.7.2018, s. 1.</w:t>
      </w:r>
    </w:p>
  </w:footnote>
  <w:footnote w:id="2">
    <w:p w:rsidR="00BF44E8" w:rsidRPr="0076677D" w:rsidRDefault="00BF44E8" w:rsidP="0076677D">
      <w:pPr>
        <w:pStyle w:val="FootnoteText"/>
        <w:ind w:left="567" w:hanging="567"/>
        <w:rPr>
          <w:sz w:val="24"/>
          <w:lang w:val="sv-SE"/>
        </w:rPr>
      </w:pPr>
      <w:r w:rsidRPr="0076677D">
        <w:rPr>
          <w:rStyle w:val="FootnoteReference"/>
          <w:sz w:val="24"/>
          <w:lang w:val="sv-SE"/>
        </w:rPr>
        <w:footnoteRef/>
      </w:r>
      <w:r w:rsidRPr="0076677D">
        <w:rPr>
          <w:sz w:val="24"/>
          <w:lang w:val="sv-SE"/>
        </w:rPr>
        <w:t xml:space="preserve"> </w:t>
      </w:r>
      <w:r w:rsidRPr="0076677D">
        <w:rPr>
          <w:sz w:val="24"/>
          <w:lang w:val="sv-SE"/>
        </w:rPr>
        <w:tab/>
        <w:t>EUT L 433 I, 22.12.2020, s. 11.</w:t>
      </w:r>
    </w:p>
  </w:footnote>
  <w:footnote w:id="3">
    <w:p w:rsidR="00BF44E8" w:rsidRPr="0076677D" w:rsidRDefault="00BF44E8" w:rsidP="0076677D">
      <w:pPr>
        <w:pStyle w:val="FootnoteText"/>
        <w:ind w:left="567" w:hanging="567"/>
        <w:rPr>
          <w:sz w:val="24"/>
          <w:lang w:val="sv-SE"/>
        </w:rPr>
      </w:pPr>
      <w:r w:rsidRPr="0076677D">
        <w:rPr>
          <w:rStyle w:val="FootnoteReference"/>
          <w:sz w:val="24"/>
          <w:lang w:val="sv-SE"/>
        </w:rPr>
        <w:footnoteRef/>
      </w:r>
      <w:r w:rsidRPr="0076677D">
        <w:rPr>
          <w:sz w:val="24"/>
          <w:lang w:val="sv-SE"/>
        </w:rPr>
        <w:t xml:space="preserve"> </w:t>
      </w:r>
      <w:r w:rsidRPr="0076677D">
        <w:rPr>
          <w:sz w:val="24"/>
          <w:lang w:val="sv-SE"/>
        </w:rPr>
        <w:tab/>
        <w:t>EUT C 444 I, 22.12.2020, s. 4.</w:t>
      </w:r>
    </w:p>
  </w:footnote>
  <w:footnote w:id="4">
    <w:p w:rsidR="00BF44E8" w:rsidRPr="0076677D" w:rsidRDefault="00BF44E8" w:rsidP="0076677D">
      <w:pPr>
        <w:pStyle w:val="FootnoteText"/>
        <w:ind w:left="567" w:hanging="567"/>
        <w:rPr>
          <w:sz w:val="24"/>
          <w:lang w:val="sv-SE"/>
        </w:rPr>
      </w:pPr>
      <w:r w:rsidRPr="0076677D">
        <w:rPr>
          <w:rStyle w:val="FootnoteReference"/>
          <w:sz w:val="24"/>
          <w:lang w:val="sv-SE"/>
        </w:rPr>
        <w:footnoteRef/>
      </w:r>
      <w:r w:rsidRPr="0076677D">
        <w:rPr>
          <w:sz w:val="24"/>
          <w:lang w:val="sv-SE"/>
        </w:rPr>
        <w:t xml:space="preserve"> </w:t>
      </w:r>
      <w:r w:rsidRPr="0076677D">
        <w:rPr>
          <w:sz w:val="24"/>
          <w:lang w:val="sv-SE"/>
        </w:rPr>
        <w:tab/>
        <w:t>Antagna texter, P9_TA(2020)0357.</w:t>
      </w:r>
    </w:p>
  </w:footnote>
  <w:footnote w:id="5">
    <w:p w:rsidR="00BF44E8" w:rsidRPr="0076677D" w:rsidRDefault="00BF44E8" w:rsidP="0076677D">
      <w:pPr>
        <w:pStyle w:val="FootnoteText"/>
        <w:ind w:left="567" w:hanging="567"/>
        <w:rPr>
          <w:sz w:val="24"/>
          <w:lang w:val="sv-SE"/>
        </w:rPr>
      </w:pPr>
      <w:r w:rsidRPr="0076677D">
        <w:rPr>
          <w:rStyle w:val="FootnoteReference"/>
          <w:sz w:val="24"/>
          <w:lang w:val="sv-SE"/>
        </w:rPr>
        <w:footnoteRef/>
      </w:r>
      <w:r w:rsidRPr="0076677D">
        <w:rPr>
          <w:sz w:val="24"/>
          <w:lang w:val="sv-SE"/>
        </w:rPr>
        <w:t xml:space="preserve"> </w:t>
      </w:r>
      <w:r w:rsidRPr="0076677D">
        <w:rPr>
          <w:sz w:val="24"/>
          <w:lang w:val="sv-SE"/>
        </w:rPr>
        <w:tab/>
        <w:t>EUT L 433 I, 22.12.2020, s. 28.</w:t>
      </w:r>
    </w:p>
  </w:footnote>
  <w:footnote w:id="6">
    <w:p w:rsidR="00BF44E8" w:rsidRPr="0076677D" w:rsidRDefault="00BF44E8" w:rsidP="0076677D">
      <w:pPr>
        <w:pStyle w:val="FootnoteText"/>
        <w:ind w:left="567" w:hanging="567"/>
        <w:rPr>
          <w:sz w:val="24"/>
          <w:lang w:val="sv-SE"/>
        </w:rPr>
      </w:pPr>
      <w:r w:rsidRPr="0076677D">
        <w:rPr>
          <w:rStyle w:val="FootnoteReference"/>
          <w:sz w:val="24"/>
          <w:lang w:val="sv-SE"/>
        </w:rPr>
        <w:footnoteRef/>
      </w:r>
      <w:r w:rsidRPr="0076677D">
        <w:rPr>
          <w:sz w:val="24"/>
          <w:lang w:val="sv-SE"/>
        </w:rPr>
        <w:t xml:space="preserve"> </w:t>
      </w:r>
      <w:r w:rsidRPr="0076677D">
        <w:rPr>
          <w:sz w:val="24"/>
          <w:lang w:val="sv-SE"/>
        </w:rPr>
        <w:tab/>
        <w:t>Antagna texter, P9_TA(2023)0335.</w:t>
      </w:r>
    </w:p>
  </w:footnote>
  <w:footnote w:id="7">
    <w:p w:rsidR="00BF44E8" w:rsidRPr="0076677D" w:rsidRDefault="00BF44E8" w:rsidP="0076677D">
      <w:pPr>
        <w:pStyle w:val="Action"/>
        <w:tabs>
          <w:tab w:val="clear" w:pos="357"/>
        </w:tabs>
        <w:spacing w:after="0"/>
        <w:ind w:left="567" w:hanging="567"/>
        <w:outlineLvl w:val="0"/>
      </w:pPr>
      <w:r w:rsidRPr="0076677D">
        <w:rPr>
          <w:rStyle w:val="FootnoteReference"/>
        </w:rPr>
        <w:footnoteRef/>
      </w:r>
      <w:r w:rsidRPr="0076677D">
        <w:t xml:space="preserve"> </w:t>
      </w:r>
      <w:r w:rsidRPr="0076677D">
        <w:tab/>
        <w:t>EUT C 177, 17.5.2023, s. 115.</w:t>
      </w:r>
    </w:p>
  </w:footnote>
  <w:footnote w:id="8">
    <w:p w:rsidR="00BF44E8" w:rsidRPr="00126EEB" w:rsidRDefault="00BF44E8" w:rsidP="0076677D">
      <w:pPr>
        <w:pStyle w:val="FootnoteText"/>
        <w:ind w:left="567" w:hanging="567"/>
        <w:rPr>
          <w:sz w:val="24"/>
          <w:lang w:val="fi-FI"/>
        </w:rPr>
      </w:pPr>
      <w:r w:rsidRPr="0076677D">
        <w:rPr>
          <w:rStyle w:val="FootnoteReference"/>
          <w:sz w:val="24"/>
          <w:lang w:val="sv-SE"/>
        </w:rPr>
        <w:footnoteRef/>
      </w:r>
      <w:r w:rsidRPr="00126EEB">
        <w:rPr>
          <w:rStyle w:val="Emphasis"/>
          <w:color w:val="333333"/>
          <w:sz w:val="24"/>
          <w:shd w:val="clear" w:color="auto" w:fill="FFFFFF"/>
          <w:lang w:val="fi-FI"/>
        </w:rPr>
        <w:t xml:space="preserve"> </w:t>
      </w:r>
      <w:r w:rsidRPr="00126EEB">
        <w:rPr>
          <w:rStyle w:val="Emphasis"/>
          <w:color w:val="333333"/>
          <w:sz w:val="24"/>
          <w:shd w:val="clear" w:color="auto" w:fill="FFFFFF"/>
          <w:lang w:val="fi-FI"/>
        </w:rPr>
        <w:tab/>
      </w:r>
      <w:r w:rsidRPr="00126EEB">
        <w:rPr>
          <w:rStyle w:val="Emphasis"/>
          <w:i w:val="0"/>
          <w:color w:val="333333"/>
          <w:sz w:val="24"/>
          <w:shd w:val="clear" w:color="auto" w:fill="FFFFFF"/>
          <w:lang w:val="fi-FI"/>
        </w:rPr>
        <w:t xml:space="preserve">EUT L, 2024/765, 29.2.2024, ELI: </w:t>
      </w:r>
      <w:hyperlink r:id="rId1" w:history="1">
        <w:r w:rsidRPr="00126EEB">
          <w:rPr>
            <w:rStyle w:val="Hyperlink"/>
            <w:lang w:val="fi-FI"/>
          </w:rPr>
          <w:t>http://data.europa.eu/eli/reg/2024/765/oj</w:t>
        </w:r>
      </w:hyperlink>
      <w:r w:rsidRPr="00126EEB">
        <w:rPr>
          <w:rStyle w:val="Emphasis"/>
          <w:i w:val="0"/>
          <w:color w:val="333333"/>
          <w:sz w:val="24"/>
          <w:shd w:val="clear" w:color="auto" w:fill="FFFFFF"/>
          <w:lang w:val="fi-FI"/>
        </w:rPr>
        <w:t>.</w:t>
      </w:r>
    </w:p>
  </w:footnote>
  <w:footnote w:id="9">
    <w:p w:rsidR="00BF44E8" w:rsidRPr="0076677D" w:rsidRDefault="00BF44E8" w:rsidP="0076677D">
      <w:pPr>
        <w:pStyle w:val="FootnoteText"/>
        <w:ind w:left="567" w:hanging="567"/>
        <w:rPr>
          <w:sz w:val="24"/>
          <w:lang w:val="sv-SE"/>
        </w:rPr>
      </w:pPr>
      <w:r w:rsidRPr="0076677D">
        <w:rPr>
          <w:rStyle w:val="FootnoteReference"/>
          <w:sz w:val="24"/>
          <w:lang w:val="sv-SE"/>
        </w:rPr>
        <w:footnoteRef/>
      </w:r>
      <w:r w:rsidRPr="0076677D">
        <w:rPr>
          <w:sz w:val="24"/>
          <w:lang w:val="sv-SE"/>
        </w:rPr>
        <w:t xml:space="preserve"> </w:t>
      </w:r>
      <w:r w:rsidRPr="0076677D">
        <w:rPr>
          <w:sz w:val="24"/>
          <w:lang w:val="sv-SE"/>
        </w:rPr>
        <w:tab/>
        <w:t>COM(2022)0223.</w:t>
      </w:r>
    </w:p>
  </w:footnote>
  <w:footnote w:id="10">
    <w:p w:rsidR="00BF44E8" w:rsidRPr="0076677D" w:rsidRDefault="00BF44E8" w:rsidP="0076677D">
      <w:pPr>
        <w:pStyle w:val="FootnoteText"/>
        <w:ind w:left="567" w:hanging="567"/>
        <w:rPr>
          <w:sz w:val="24"/>
          <w:lang w:val="sv-SE"/>
        </w:rPr>
      </w:pPr>
      <w:r w:rsidRPr="0076677D">
        <w:rPr>
          <w:rStyle w:val="FootnoteReference"/>
          <w:sz w:val="24"/>
          <w:lang w:val="sv-SE"/>
        </w:rPr>
        <w:footnoteRef/>
      </w:r>
      <w:r w:rsidRPr="0076677D">
        <w:rPr>
          <w:sz w:val="24"/>
          <w:lang w:val="sv-SE"/>
        </w:rPr>
        <w:t xml:space="preserve"> </w:t>
      </w:r>
      <w:r w:rsidRPr="0076677D">
        <w:rPr>
          <w:sz w:val="24"/>
          <w:lang w:val="sv-SE"/>
        </w:rPr>
        <w:tab/>
        <w:t>EUT L 287, 29.10.2013, s. 15.</w:t>
      </w:r>
    </w:p>
  </w:footnote>
  <w:footnote w:id="11">
    <w:p w:rsidR="00BF44E8" w:rsidRPr="0076677D" w:rsidRDefault="00BF44E8" w:rsidP="0076677D">
      <w:pPr>
        <w:pStyle w:val="FootnoteText"/>
        <w:ind w:left="567" w:hanging="567"/>
        <w:rPr>
          <w:sz w:val="24"/>
          <w:lang w:val="sv-SE"/>
        </w:rPr>
      </w:pPr>
      <w:r w:rsidRPr="0076677D">
        <w:rPr>
          <w:rStyle w:val="FootnoteReference"/>
          <w:sz w:val="24"/>
          <w:lang w:val="sv-SE"/>
        </w:rPr>
        <w:footnoteRef/>
      </w:r>
      <w:r w:rsidRPr="0076677D">
        <w:rPr>
          <w:sz w:val="24"/>
          <w:lang w:val="sv-SE"/>
        </w:rPr>
        <w:t xml:space="preserve"> </w:t>
      </w:r>
      <w:r w:rsidRPr="0076677D">
        <w:rPr>
          <w:sz w:val="24"/>
          <w:lang w:val="sv-SE"/>
        </w:rPr>
        <w:tab/>
        <w:t>Antagna texter, P9_TA(2023)0119.</w:t>
      </w:r>
    </w:p>
  </w:footnote>
  <w:footnote w:id="12">
    <w:p w:rsidR="00BF44E8" w:rsidRPr="0076677D" w:rsidRDefault="00BF44E8" w:rsidP="0076677D">
      <w:pPr>
        <w:pStyle w:val="FootnoteText"/>
        <w:ind w:left="567" w:hanging="567"/>
        <w:rPr>
          <w:sz w:val="24"/>
          <w:lang w:val="sv-SE"/>
        </w:rPr>
      </w:pPr>
      <w:r w:rsidRPr="0076677D">
        <w:rPr>
          <w:rStyle w:val="FootnoteReference"/>
          <w:sz w:val="24"/>
          <w:lang w:val="sv-SE"/>
        </w:rPr>
        <w:footnoteRef/>
      </w:r>
      <w:r w:rsidRPr="0076677D">
        <w:rPr>
          <w:sz w:val="24"/>
          <w:lang w:val="sv-SE"/>
        </w:rPr>
        <w:t xml:space="preserve"> </w:t>
      </w:r>
      <w:r w:rsidRPr="0076677D">
        <w:rPr>
          <w:sz w:val="24"/>
          <w:lang w:val="sv-SE"/>
        </w:rPr>
        <w:tab/>
        <w:t>Antagna texter, P9_TA(2023)0367.</w:t>
      </w:r>
    </w:p>
  </w:footnote>
  <w:footnote w:id="13">
    <w:p w:rsidR="00BF44E8" w:rsidRPr="0076677D" w:rsidRDefault="00BF44E8" w:rsidP="0076677D">
      <w:pPr>
        <w:pStyle w:val="FootnoteText"/>
        <w:ind w:left="567" w:hanging="567"/>
        <w:rPr>
          <w:sz w:val="24"/>
          <w:lang w:val="sv-SE"/>
        </w:rPr>
      </w:pPr>
      <w:r w:rsidRPr="0076677D">
        <w:rPr>
          <w:rStyle w:val="FootnoteReference"/>
          <w:sz w:val="24"/>
          <w:lang w:val="sv-SE"/>
        </w:rPr>
        <w:footnoteRef/>
      </w:r>
      <w:r w:rsidRPr="0076677D">
        <w:rPr>
          <w:sz w:val="24"/>
          <w:lang w:val="sv-SE"/>
        </w:rPr>
        <w:t xml:space="preserve"> </w:t>
      </w:r>
      <w:r w:rsidRPr="0076677D">
        <w:rPr>
          <w:sz w:val="24"/>
          <w:lang w:val="sv-SE"/>
        </w:rPr>
        <w:tab/>
        <w:t>EUT L 207, 22.2.2024</w:t>
      </w:r>
      <w:r>
        <w:rPr>
          <w:sz w:val="24"/>
          <w:lang w:val="sv-SE"/>
        </w:rPr>
        <w:t>.</w:t>
      </w:r>
    </w:p>
  </w:footnote>
  <w:footnote w:id="14">
    <w:p w:rsidR="00BF44E8" w:rsidRPr="0076677D" w:rsidRDefault="00BF44E8" w:rsidP="0076677D">
      <w:pPr>
        <w:pStyle w:val="FootnoteText"/>
        <w:ind w:left="567" w:hanging="567"/>
        <w:rPr>
          <w:sz w:val="24"/>
          <w:lang w:val="sv-SE"/>
        </w:rPr>
      </w:pPr>
      <w:r w:rsidRPr="0076677D">
        <w:rPr>
          <w:rStyle w:val="FootnoteReference"/>
          <w:sz w:val="24"/>
          <w:lang w:val="sv-SE"/>
        </w:rPr>
        <w:footnoteRef/>
      </w:r>
      <w:r w:rsidRPr="0076677D">
        <w:rPr>
          <w:sz w:val="24"/>
          <w:lang w:val="sv-SE"/>
        </w:rPr>
        <w:t xml:space="preserve"> </w:t>
      </w:r>
      <w:r w:rsidRPr="0076677D">
        <w:rPr>
          <w:sz w:val="24"/>
          <w:lang w:val="sv-SE"/>
        </w:rPr>
        <w:tab/>
        <w:t>Antagna texter, P9_TA(2022)0366.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44E8" w:rsidRPr="0076677D" w:rsidRDefault="00BF44E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44E8" w:rsidRPr="0076677D" w:rsidRDefault="00BF44E8"/>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44E8" w:rsidRPr="0076677D" w:rsidRDefault="00BF44E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C9"/>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 w15:restartNumberingAfterBreak="0">
    <w:nsid w:val="000000C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 w15:restartNumberingAfterBreak="0">
    <w:nsid w:val="000000C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 w15:restartNumberingAfterBreak="0">
    <w:nsid w:val="000000C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4" w15:restartNumberingAfterBreak="0">
    <w:nsid w:val="000000C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5" w15:restartNumberingAfterBreak="0">
    <w:nsid w:val="000000C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6" w15:restartNumberingAfterBreak="0">
    <w:nsid w:val="000000C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7" w15:restartNumberingAfterBreak="0">
    <w:nsid w:val="000000D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8" w15:restartNumberingAfterBreak="0">
    <w:nsid w:val="000000D1"/>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9" w15:restartNumberingAfterBreak="0">
    <w:nsid w:val="000007D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0" w15:restartNumberingAfterBreak="0">
    <w:nsid w:val="000007D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1" w15:restartNumberingAfterBreak="0">
    <w:nsid w:val="000007D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2" w15:restartNumberingAfterBreak="0">
    <w:nsid w:val="000007D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3" w15:restartNumberingAfterBreak="0">
    <w:nsid w:val="000007D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4" w15:restartNumberingAfterBreak="0">
    <w:nsid w:val="000007D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5" w15:restartNumberingAfterBreak="0">
    <w:nsid w:val="000007E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6" w15:restartNumberingAfterBreak="0">
    <w:nsid w:val="000007E1"/>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7" w15:restartNumberingAfterBreak="0">
    <w:nsid w:val="000007E2"/>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8" w15:restartNumberingAfterBreak="0">
    <w:nsid w:val="000007E3"/>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9" w15:restartNumberingAfterBreak="0">
    <w:nsid w:val="000007E4"/>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0" w15:restartNumberingAfterBreak="0">
    <w:nsid w:val="000007E5"/>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1" w15:restartNumberingAfterBreak="0">
    <w:nsid w:val="000007E6"/>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2" w15:restartNumberingAfterBreak="0">
    <w:nsid w:val="000007E7"/>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3" w15:restartNumberingAfterBreak="0">
    <w:nsid w:val="000007E8"/>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4" w15:restartNumberingAfterBreak="0">
    <w:nsid w:val="000007E9"/>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5" w15:restartNumberingAfterBreak="0">
    <w:nsid w:val="000007E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6" w15:restartNumberingAfterBreak="0">
    <w:nsid w:val="000007E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7" w15:restartNumberingAfterBreak="0">
    <w:nsid w:val="000007E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8" w15:restartNumberingAfterBreak="0">
    <w:nsid w:val="000007E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9" w15:restartNumberingAfterBreak="0">
    <w:nsid w:val="000007E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0" w15:restartNumberingAfterBreak="0">
    <w:nsid w:val="000007E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1" w15:restartNumberingAfterBreak="0">
    <w:nsid w:val="000007F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3" w15:restartNumberingAfterBreak="0">
    <w:nsid w:val="1B59677E"/>
    <w:multiLevelType w:val="hybridMultilevel"/>
    <w:tmpl w:val="4374264C"/>
    <w:lvl w:ilvl="0" w:tplc="1B968DF0">
      <w:start w:val="1"/>
      <w:numFmt w:val="bullet"/>
      <w:lvlText w:val=""/>
      <w:lvlJc w:val="left"/>
      <w:pPr>
        <w:ind w:left="360" w:hanging="360"/>
      </w:pPr>
      <w:rPr>
        <w:rFonts w:ascii="Symbol" w:hAnsi="Symbol" w:hint="default"/>
      </w:rPr>
    </w:lvl>
    <w:lvl w:ilvl="1" w:tplc="BE3A7024" w:tentative="1">
      <w:start w:val="1"/>
      <w:numFmt w:val="bullet"/>
      <w:lvlText w:val="o"/>
      <w:lvlJc w:val="left"/>
      <w:pPr>
        <w:ind w:left="1080" w:hanging="360"/>
      </w:pPr>
      <w:rPr>
        <w:rFonts w:ascii="Courier New" w:hAnsi="Courier New" w:cs="Courier New" w:hint="default"/>
      </w:rPr>
    </w:lvl>
    <w:lvl w:ilvl="2" w:tplc="70A4C160" w:tentative="1">
      <w:start w:val="1"/>
      <w:numFmt w:val="bullet"/>
      <w:lvlText w:val=""/>
      <w:lvlJc w:val="left"/>
      <w:pPr>
        <w:ind w:left="1800" w:hanging="360"/>
      </w:pPr>
      <w:rPr>
        <w:rFonts w:ascii="Wingdings" w:hAnsi="Wingdings" w:hint="default"/>
      </w:rPr>
    </w:lvl>
    <w:lvl w:ilvl="3" w:tplc="14240844" w:tentative="1">
      <w:start w:val="1"/>
      <w:numFmt w:val="bullet"/>
      <w:lvlText w:val=""/>
      <w:lvlJc w:val="left"/>
      <w:pPr>
        <w:ind w:left="2520" w:hanging="360"/>
      </w:pPr>
      <w:rPr>
        <w:rFonts w:ascii="Symbol" w:hAnsi="Symbol" w:hint="default"/>
      </w:rPr>
    </w:lvl>
    <w:lvl w:ilvl="4" w:tplc="6CE05DC4" w:tentative="1">
      <w:start w:val="1"/>
      <w:numFmt w:val="bullet"/>
      <w:lvlText w:val="o"/>
      <w:lvlJc w:val="left"/>
      <w:pPr>
        <w:ind w:left="3240" w:hanging="360"/>
      </w:pPr>
      <w:rPr>
        <w:rFonts w:ascii="Courier New" w:hAnsi="Courier New" w:cs="Courier New" w:hint="default"/>
      </w:rPr>
    </w:lvl>
    <w:lvl w:ilvl="5" w:tplc="B2BEC368" w:tentative="1">
      <w:start w:val="1"/>
      <w:numFmt w:val="bullet"/>
      <w:lvlText w:val=""/>
      <w:lvlJc w:val="left"/>
      <w:pPr>
        <w:ind w:left="3960" w:hanging="360"/>
      </w:pPr>
      <w:rPr>
        <w:rFonts w:ascii="Wingdings" w:hAnsi="Wingdings" w:hint="default"/>
      </w:rPr>
    </w:lvl>
    <w:lvl w:ilvl="6" w:tplc="05D06824" w:tentative="1">
      <w:start w:val="1"/>
      <w:numFmt w:val="bullet"/>
      <w:lvlText w:val=""/>
      <w:lvlJc w:val="left"/>
      <w:pPr>
        <w:ind w:left="4680" w:hanging="360"/>
      </w:pPr>
      <w:rPr>
        <w:rFonts w:ascii="Symbol" w:hAnsi="Symbol" w:hint="default"/>
      </w:rPr>
    </w:lvl>
    <w:lvl w:ilvl="7" w:tplc="8A02E24E" w:tentative="1">
      <w:start w:val="1"/>
      <w:numFmt w:val="bullet"/>
      <w:lvlText w:val="o"/>
      <w:lvlJc w:val="left"/>
      <w:pPr>
        <w:ind w:left="5400" w:hanging="360"/>
      </w:pPr>
      <w:rPr>
        <w:rFonts w:ascii="Courier New" w:hAnsi="Courier New" w:cs="Courier New" w:hint="default"/>
      </w:rPr>
    </w:lvl>
    <w:lvl w:ilvl="8" w:tplc="602E1F66" w:tentative="1">
      <w:start w:val="1"/>
      <w:numFmt w:val="bullet"/>
      <w:lvlText w:val=""/>
      <w:lvlJc w:val="left"/>
      <w:pPr>
        <w:ind w:left="6120" w:hanging="360"/>
      </w:pPr>
      <w:rPr>
        <w:rFonts w:ascii="Wingdings" w:hAnsi="Wingdings" w:hint="default"/>
      </w:rPr>
    </w:lvl>
  </w:abstractNum>
  <w:abstractNum w:abstractNumId="34" w15:restartNumberingAfterBreak="0">
    <w:nsid w:val="335C0D9D"/>
    <w:multiLevelType w:val="hybridMultilevel"/>
    <w:tmpl w:val="DDB89A0A"/>
    <w:lvl w:ilvl="0" w:tplc="29AC26FE">
      <w:start w:val="1"/>
      <w:numFmt w:val="bullet"/>
      <w:lvlText w:val="—"/>
      <w:lvlJc w:val="left"/>
      <w:pPr>
        <w:ind w:left="720" w:hanging="360"/>
      </w:pPr>
      <w:rPr>
        <w:rFonts w:ascii="Times New Roman" w:hAnsi="Times New Roman" w:cs="Times New Roman" w:hint="default"/>
      </w:rPr>
    </w:lvl>
    <w:lvl w:ilvl="1" w:tplc="39CA4F76" w:tentative="1">
      <w:start w:val="1"/>
      <w:numFmt w:val="bullet"/>
      <w:lvlText w:val="o"/>
      <w:lvlJc w:val="left"/>
      <w:pPr>
        <w:ind w:left="1440" w:hanging="360"/>
      </w:pPr>
      <w:rPr>
        <w:rFonts w:ascii="Courier New" w:hAnsi="Courier New" w:cs="Courier New" w:hint="default"/>
      </w:rPr>
    </w:lvl>
    <w:lvl w:ilvl="2" w:tplc="C7DE1948" w:tentative="1">
      <w:start w:val="1"/>
      <w:numFmt w:val="bullet"/>
      <w:lvlText w:val=""/>
      <w:lvlJc w:val="left"/>
      <w:pPr>
        <w:ind w:left="2160" w:hanging="360"/>
      </w:pPr>
      <w:rPr>
        <w:rFonts w:ascii="Wingdings" w:hAnsi="Wingdings" w:hint="default"/>
      </w:rPr>
    </w:lvl>
    <w:lvl w:ilvl="3" w:tplc="5ACCA6D2" w:tentative="1">
      <w:start w:val="1"/>
      <w:numFmt w:val="bullet"/>
      <w:lvlText w:val=""/>
      <w:lvlJc w:val="left"/>
      <w:pPr>
        <w:ind w:left="2880" w:hanging="360"/>
      </w:pPr>
      <w:rPr>
        <w:rFonts w:ascii="Symbol" w:hAnsi="Symbol" w:hint="default"/>
      </w:rPr>
    </w:lvl>
    <w:lvl w:ilvl="4" w:tplc="7160FFF4" w:tentative="1">
      <w:start w:val="1"/>
      <w:numFmt w:val="bullet"/>
      <w:lvlText w:val="o"/>
      <w:lvlJc w:val="left"/>
      <w:pPr>
        <w:ind w:left="3600" w:hanging="360"/>
      </w:pPr>
      <w:rPr>
        <w:rFonts w:ascii="Courier New" w:hAnsi="Courier New" w:cs="Courier New" w:hint="default"/>
      </w:rPr>
    </w:lvl>
    <w:lvl w:ilvl="5" w:tplc="CC4E742A" w:tentative="1">
      <w:start w:val="1"/>
      <w:numFmt w:val="bullet"/>
      <w:lvlText w:val=""/>
      <w:lvlJc w:val="left"/>
      <w:pPr>
        <w:ind w:left="4320" w:hanging="360"/>
      </w:pPr>
      <w:rPr>
        <w:rFonts w:ascii="Wingdings" w:hAnsi="Wingdings" w:hint="default"/>
      </w:rPr>
    </w:lvl>
    <w:lvl w:ilvl="6" w:tplc="10981158" w:tentative="1">
      <w:start w:val="1"/>
      <w:numFmt w:val="bullet"/>
      <w:lvlText w:val=""/>
      <w:lvlJc w:val="left"/>
      <w:pPr>
        <w:ind w:left="5040" w:hanging="360"/>
      </w:pPr>
      <w:rPr>
        <w:rFonts w:ascii="Symbol" w:hAnsi="Symbol" w:hint="default"/>
      </w:rPr>
    </w:lvl>
    <w:lvl w:ilvl="7" w:tplc="C87486E0" w:tentative="1">
      <w:start w:val="1"/>
      <w:numFmt w:val="bullet"/>
      <w:lvlText w:val="o"/>
      <w:lvlJc w:val="left"/>
      <w:pPr>
        <w:ind w:left="5760" w:hanging="360"/>
      </w:pPr>
      <w:rPr>
        <w:rFonts w:ascii="Courier New" w:hAnsi="Courier New" w:cs="Courier New" w:hint="default"/>
      </w:rPr>
    </w:lvl>
    <w:lvl w:ilvl="8" w:tplc="A9189206" w:tentative="1">
      <w:start w:val="1"/>
      <w:numFmt w:val="bullet"/>
      <w:lvlText w:val=""/>
      <w:lvlJc w:val="left"/>
      <w:pPr>
        <w:ind w:left="6480" w:hanging="360"/>
      </w:pPr>
      <w:rPr>
        <w:rFonts w:ascii="Wingdings" w:hAnsi="Wingdings" w:hint="default"/>
      </w:rPr>
    </w:lvl>
  </w:abstractNum>
  <w:abstractNum w:abstractNumId="3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6" w15:restartNumberingAfterBreak="0">
    <w:nsid w:val="3B15534A"/>
    <w:multiLevelType w:val="hybridMultilevel"/>
    <w:tmpl w:val="680E4B70"/>
    <w:lvl w:ilvl="0" w:tplc="C5D064D2">
      <w:start w:val="1"/>
      <w:numFmt w:val="bullet"/>
      <w:lvlText w:val="—"/>
      <w:lvlJc w:val="left"/>
      <w:pPr>
        <w:ind w:left="720" w:hanging="360"/>
      </w:pPr>
      <w:rPr>
        <w:rFonts w:ascii="Times New Roman" w:hAnsi="Times New Roman" w:cs="Times New Roman" w:hint="default"/>
      </w:rPr>
    </w:lvl>
    <w:lvl w:ilvl="1" w:tplc="3F7A9A94" w:tentative="1">
      <w:start w:val="1"/>
      <w:numFmt w:val="bullet"/>
      <w:lvlText w:val="o"/>
      <w:lvlJc w:val="left"/>
      <w:pPr>
        <w:ind w:left="1440" w:hanging="360"/>
      </w:pPr>
      <w:rPr>
        <w:rFonts w:ascii="Courier New" w:hAnsi="Courier New" w:cs="Courier New" w:hint="default"/>
      </w:rPr>
    </w:lvl>
    <w:lvl w:ilvl="2" w:tplc="ADAE5C48" w:tentative="1">
      <w:start w:val="1"/>
      <w:numFmt w:val="bullet"/>
      <w:lvlText w:val=""/>
      <w:lvlJc w:val="left"/>
      <w:pPr>
        <w:ind w:left="2160" w:hanging="360"/>
      </w:pPr>
      <w:rPr>
        <w:rFonts w:ascii="Wingdings" w:hAnsi="Wingdings" w:hint="default"/>
      </w:rPr>
    </w:lvl>
    <w:lvl w:ilvl="3" w:tplc="CBE0C5E2" w:tentative="1">
      <w:start w:val="1"/>
      <w:numFmt w:val="bullet"/>
      <w:lvlText w:val=""/>
      <w:lvlJc w:val="left"/>
      <w:pPr>
        <w:ind w:left="2880" w:hanging="360"/>
      </w:pPr>
      <w:rPr>
        <w:rFonts w:ascii="Symbol" w:hAnsi="Symbol" w:hint="default"/>
      </w:rPr>
    </w:lvl>
    <w:lvl w:ilvl="4" w:tplc="20500636" w:tentative="1">
      <w:start w:val="1"/>
      <w:numFmt w:val="bullet"/>
      <w:lvlText w:val="o"/>
      <w:lvlJc w:val="left"/>
      <w:pPr>
        <w:ind w:left="3600" w:hanging="360"/>
      </w:pPr>
      <w:rPr>
        <w:rFonts w:ascii="Courier New" w:hAnsi="Courier New" w:cs="Courier New" w:hint="default"/>
      </w:rPr>
    </w:lvl>
    <w:lvl w:ilvl="5" w:tplc="BD54D43E" w:tentative="1">
      <w:start w:val="1"/>
      <w:numFmt w:val="bullet"/>
      <w:lvlText w:val=""/>
      <w:lvlJc w:val="left"/>
      <w:pPr>
        <w:ind w:left="4320" w:hanging="360"/>
      </w:pPr>
      <w:rPr>
        <w:rFonts w:ascii="Wingdings" w:hAnsi="Wingdings" w:hint="default"/>
      </w:rPr>
    </w:lvl>
    <w:lvl w:ilvl="6" w:tplc="CD8AC182" w:tentative="1">
      <w:start w:val="1"/>
      <w:numFmt w:val="bullet"/>
      <w:lvlText w:val=""/>
      <w:lvlJc w:val="left"/>
      <w:pPr>
        <w:ind w:left="5040" w:hanging="360"/>
      </w:pPr>
      <w:rPr>
        <w:rFonts w:ascii="Symbol" w:hAnsi="Symbol" w:hint="default"/>
      </w:rPr>
    </w:lvl>
    <w:lvl w:ilvl="7" w:tplc="392EF11E" w:tentative="1">
      <w:start w:val="1"/>
      <w:numFmt w:val="bullet"/>
      <w:lvlText w:val="o"/>
      <w:lvlJc w:val="left"/>
      <w:pPr>
        <w:ind w:left="5760" w:hanging="360"/>
      </w:pPr>
      <w:rPr>
        <w:rFonts w:ascii="Courier New" w:hAnsi="Courier New" w:cs="Courier New" w:hint="default"/>
      </w:rPr>
    </w:lvl>
    <w:lvl w:ilvl="8" w:tplc="D5B89CC4" w:tentative="1">
      <w:start w:val="1"/>
      <w:numFmt w:val="bullet"/>
      <w:lvlText w:val=""/>
      <w:lvlJc w:val="left"/>
      <w:pPr>
        <w:ind w:left="6480" w:hanging="360"/>
      </w:pPr>
      <w:rPr>
        <w:rFonts w:ascii="Wingdings" w:hAnsi="Wingdings" w:hint="default"/>
      </w:rPr>
    </w:lvl>
  </w:abstractNum>
  <w:abstractNum w:abstractNumId="37" w15:restartNumberingAfterBreak="0">
    <w:nsid w:val="5B5B7323"/>
    <w:multiLevelType w:val="hybridMultilevel"/>
    <w:tmpl w:val="C4EC386E"/>
    <w:lvl w:ilvl="0" w:tplc="CD665648">
      <w:start w:val="1"/>
      <w:numFmt w:val="bullet"/>
      <w:lvlText w:val="—"/>
      <w:lvlJc w:val="left"/>
      <w:pPr>
        <w:ind w:left="720" w:hanging="360"/>
      </w:pPr>
      <w:rPr>
        <w:rFonts w:ascii="Times New Roman" w:hAnsi="Times New Roman" w:cs="Times New Roman" w:hint="default"/>
      </w:rPr>
    </w:lvl>
    <w:lvl w:ilvl="1" w:tplc="A27853F4" w:tentative="1">
      <w:start w:val="1"/>
      <w:numFmt w:val="bullet"/>
      <w:lvlText w:val="o"/>
      <w:lvlJc w:val="left"/>
      <w:pPr>
        <w:ind w:left="1440" w:hanging="360"/>
      </w:pPr>
      <w:rPr>
        <w:rFonts w:ascii="Courier New" w:hAnsi="Courier New" w:cs="Courier New" w:hint="default"/>
      </w:rPr>
    </w:lvl>
    <w:lvl w:ilvl="2" w:tplc="459CF6D2" w:tentative="1">
      <w:start w:val="1"/>
      <w:numFmt w:val="bullet"/>
      <w:lvlText w:val=""/>
      <w:lvlJc w:val="left"/>
      <w:pPr>
        <w:ind w:left="2160" w:hanging="360"/>
      </w:pPr>
      <w:rPr>
        <w:rFonts w:ascii="Wingdings" w:hAnsi="Wingdings" w:hint="default"/>
      </w:rPr>
    </w:lvl>
    <w:lvl w:ilvl="3" w:tplc="97A629C2" w:tentative="1">
      <w:start w:val="1"/>
      <w:numFmt w:val="bullet"/>
      <w:lvlText w:val=""/>
      <w:lvlJc w:val="left"/>
      <w:pPr>
        <w:ind w:left="2880" w:hanging="360"/>
      </w:pPr>
      <w:rPr>
        <w:rFonts w:ascii="Symbol" w:hAnsi="Symbol" w:hint="default"/>
      </w:rPr>
    </w:lvl>
    <w:lvl w:ilvl="4" w:tplc="52527E36" w:tentative="1">
      <w:start w:val="1"/>
      <w:numFmt w:val="bullet"/>
      <w:lvlText w:val="o"/>
      <w:lvlJc w:val="left"/>
      <w:pPr>
        <w:ind w:left="3600" w:hanging="360"/>
      </w:pPr>
      <w:rPr>
        <w:rFonts w:ascii="Courier New" w:hAnsi="Courier New" w:cs="Courier New" w:hint="default"/>
      </w:rPr>
    </w:lvl>
    <w:lvl w:ilvl="5" w:tplc="7026D4BC" w:tentative="1">
      <w:start w:val="1"/>
      <w:numFmt w:val="bullet"/>
      <w:lvlText w:val=""/>
      <w:lvlJc w:val="left"/>
      <w:pPr>
        <w:ind w:left="4320" w:hanging="360"/>
      </w:pPr>
      <w:rPr>
        <w:rFonts w:ascii="Wingdings" w:hAnsi="Wingdings" w:hint="default"/>
      </w:rPr>
    </w:lvl>
    <w:lvl w:ilvl="6" w:tplc="A90CDB9A" w:tentative="1">
      <w:start w:val="1"/>
      <w:numFmt w:val="bullet"/>
      <w:lvlText w:val=""/>
      <w:lvlJc w:val="left"/>
      <w:pPr>
        <w:ind w:left="5040" w:hanging="360"/>
      </w:pPr>
      <w:rPr>
        <w:rFonts w:ascii="Symbol" w:hAnsi="Symbol" w:hint="default"/>
      </w:rPr>
    </w:lvl>
    <w:lvl w:ilvl="7" w:tplc="31F86422" w:tentative="1">
      <w:start w:val="1"/>
      <w:numFmt w:val="bullet"/>
      <w:lvlText w:val="o"/>
      <w:lvlJc w:val="left"/>
      <w:pPr>
        <w:ind w:left="5760" w:hanging="360"/>
      </w:pPr>
      <w:rPr>
        <w:rFonts w:ascii="Courier New" w:hAnsi="Courier New" w:cs="Courier New" w:hint="default"/>
      </w:rPr>
    </w:lvl>
    <w:lvl w:ilvl="8" w:tplc="C6C28ABC" w:tentative="1">
      <w:start w:val="1"/>
      <w:numFmt w:val="bullet"/>
      <w:lvlText w:val=""/>
      <w:lvlJc w:val="left"/>
      <w:pPr>
        <w:ind w:left="6480" w:hanging="360"/>
      </w:pPr>
      <w:rPr>
        <w:rFonts w:ascii="Wingdings" w:hAnsi="Wingdings" w:hint="default"/>
      </w:rPr>
    </w:lvl>
  </w:abstractNum>
  <w:num w:numId="1">
    <w:abstractNumId w:val="32"/>
  </w:num>
  <w:num w:numId="2">
    <w:abstractNumId w:val="35"/>
  </w:num>
  <w:num w:numId="3">
    <w:abstractNumId w:val="0"/>
  </w:num>
  <w:num w:numId="4">
    <w:abstractNumId w:val="1"/>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10"/>
  </w:num>
  <w:num w:numId="14">
    <w:abstractNumId w:val="11"/>
  </w:num>
  <w:num w:numId="15">
    <w:abstractNumId w:val="12"/>
  </w:num>
  <w:num w:numId="16">
    <w:abstractNumId w:val="13"/>
  </w:num>
  <w:num w:numId="17">
    <w:abstractNumId w:val="14"/>
  </w:num>
  <w:num w:numId="18">
    <w:abstractNumId w:val="15"/>
  </w:num>
  <w:num w:numId="19">
    <w:abstractNumId w:val="16"/>
  </w:num>
  <w:num w:numId="20">
    <w:abstractNumId w:val="17"/>
  </w:num>
  <w:num w:numId="21">
    <w:abstractNumId w:val="18"/>
  </w:num>
  <w:num w:numId="22">
    <w:abstractNumId w:val="19"/>
  </w:num>
  <w:num w:numId="23">
    <w:abstractNumId w:val="20"/>
  </w:num>
  <w:num w:numId="24">
    <w:abstractNumId w:val="21"/>
  </w:num>
  <w:num w:numId="25">
    <w:abstractNumId w:val="22"/>
  </w:num>
  <w:num w:numId="26">
    <w:abstractNumId w:val="23"/>
  </w:num>
  <w:num w:numId="27">
    <w:abstractNumId w:val="24"/>
  </w:num>
  <w:num w:numId="28">
    <w:abstractNumId w:val="25"/>
  </w:num>
  <w:num w:numId="29">
    <w:abstractNumId w:val="26"/>
  </w:num>
  <w:num w:numId="30">
    <w:abstractNumId w:val="27"/>
  </w:num>
  <w:num w:numId="31">
    <w:abstractNumId w:val="28"/>
  </w:num>
  <w:num w:numId="32">
    <w:abstractNumId w:val="29"/>
  </w:num>
  <w:num w:numId="33">
    <w:abstractNumId w:val="30"/>
  </w:num>
  <w:num w:numId="34">
    <w:abstractNumId w:val="31"/>
  </w:num>
  <w:num w:numId="35">
    <w:abstractNumId w:val="33"/>
  </w:num>
  <w:num w:numId="36">
    <w:abstractNumId w:val="34"/>
  </w:num>
  <w:num w:numId="37">
    <w:abstractNumId w:val="37"/>
  </w:num>
  <w:num w:numId="38">
    <w:abstractNumId w:val="3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0/2024"/>
    <w:docVar w:name="dvlangue" w:val="SV"/>
    <w:docVar w:name="dvnumam" w:val="0"/>
    <w:docVar w:name="dvpe" w:val="759.633"/>
    <w:docVar w:name="dvrapporteur" w:val="Föredragande: "/>
    <w:docVar w:name="dvtitre" w:val="Europaparlamentets resolution av den xx xx 2024 om beräkning av Europaparlamentets inkomster och utgifter för budgetåret 2025(2023/2221(BUI))"/>
  </w:docVars>
  <w:rsids>
    <w:rsidRoot w:val="00376A63"/>
    <w:rsid w:val="00002272"/>
    <w:rsid w:val="000027AF"/>
    <w:rsid w:val="00064002"/>
    <w:rsid w:val="000677B9"/>
    <w:rsid w:val="000831BA"/>
    <w:rsid w:val="000A42CC"/>
    <w:rsid w:val="000E7DD9"/>
    <w:rsid w:val="0010095E"/>
    <w:rsid w:val="00125B37"/>
    <w:rsid w:val="00126EEB"/>
    <w:rsid w:val="00187494"/>
    <w:rsid w:val="00191DAE"/>
    <w:rsid w:val="001F32AE"/>
    <w:rsid w:val="002767FF"/>
    <w:rsid w:val="002B18FE"/>
    <w:rsid w:val="002B5493"/>
    <w:rsid w:val="00343214"/>
    <w:rsid w:val="00361C00"/>
    <w:rsid w:val="00376A63"/>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7366"/>
    <w:rsid w:val="005C2568"/>
    <w:rsid w:val="006037C0"/>
    <w:rsid w:val="00605C1E"/>
    <w:rsid w:val="0064570E"/>
    <w:rsid w:val="006631B6"/>
    <w:rsid w:val="00680577"/>
    <w:rsid w:val="006F74FA"/>
    <w:rsid w:val="00731ADD"/>
    <w:rsid w:val="00734777"/>
    <w:rsid w:val="00747932"/>
    <w:rsid w:val="00751A4A"/>
    <w:rsid w:val="00756632"/>
    <w:rsid w:val="00762C74"/>
    <w:rsid w:val="0076677D"/>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0A22"/>
    <w:rsid w:val="00A778C7"/>
    <w:rsid w:val="00AB441E"/>
    <w:rsid w:val="00AB6293"/>
    <w:rsid w:val="00AC50FA"/>
    <w:rsid w:val="00AE0928"/>
    <w:rsid w:val="00AF3B82"/>
    <w:rsid w:val="00B12E95"/>
    <w:rsid w:val="00B22876"/>
    <w:rsid w:val="00B558F0"/>
    <w:rsid w:val="00BD48FE"/>
    <w:rsid w:val="00BD7BD8"/>
    <w:rsid w:val="00BE6ADC"/>
    <w:rsid w:val="00BF44E8"/>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24FB"/>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30C0B7C-3D3C-4BFB-A375-F89B7A2D0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annotation text" w:uiPriority="99"/>
    <w:lsdException w:name="header" w:uiPriority="99"/>
    <w:lsdException w:name="footer" w:uiPriority="9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BVI fnr,C26 Footnote Number,Footnote,Footnote Reference Number,Footnote Reference_LVL6,Footnote Reference_LVL61,Footnote Reference_LVL62,Footnote Reference_LVL63,Footnote Reference_LVL64,Footnote Reference_LVL65,Footnote symbol"/>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605C1E"/>
    <w:rPr>
      <w:b/>
      <w:kern w:val="28"/>
      <w:sz w:val="28"/>
      <w:lang w:val="fr-FR" w:eastAsia="fr-FR"/>
    </w:rPr>
  </w:style>
  <w:style w:type="character" w:customStyle="1" w:styleId="Heading2Char">
    <w:name w:val="Heading 2 Char"/>
    <w:basedOn w:val="DefaultParagraphFont"/>
    <w:link w:val="Heading2"/>
    <w:uiPriority w:val="9"/>
    <w:rsid w:val="00605C1E"/>
    <w:rPr>
      <w:sz w:val="24"/>
      <w:lang w:val="fr-FR" w:eastAsia="fr-FR"/>
    </w:rPr>
  </w:style>
  <w:style w:type="character" w:customStyle="1" w:styleId="Heading3Char">
    <w:name w:val="Heading 3 Char"/>
    <w:basedOn w:val="DefaultParagraphFont"/>
    <w:link w:val="Heading3"/>
    <w:uiPriority w:val="9"/>
    <w:rsid w:val="00605C1E"/>
    <w:rPr>
      <w:rFonts w:ascii="Arial" w:hAnsi="Arial"/>
      <w:sz w:val="24"/>
      <w:lang w:val="fr-FR" w:eastAsia="fr-FR"/>
    </w:rPr>
  </w:style>
  <w:style w:type="character" w:customStyle="1" w:styleId="Heading4Char">
    <w:name w:val="Heading 4 Char"/>
    <w:basedOn w:val="DefaultParagraphFont"/>
    <w:link w:val="Heading4"/>
    <w:uiPriority w:val="9"/>
    <w:rsid w:val="00605C1E"/>
    <w:rPr>
      <w:sz w:val="24"/>
      <w:lang w:val="en-US" w:eastAsia="fr-FR"/>
    </w:rPr>
  </w:style>
  <w:style w:type="character" w:customStyle="1" w:styleId="Heading5Char">
    <w:name w:val="Heading 5 Char"/>
    <w:basedOn w:val="DefaultParagraphFont"/>
    <w:link w:val="Heading5"/>
    <w:uiPriority w:val="9"/>
    <w:rsid w:val="00605C1E"/>
    <w:rPr>
      <w:sz w:val="24"/>
      <w:lang w:val="en-US" w:eastAsia="fr-FR"/>
    </w:rPr>
  </w:style>
  <w:style w:type="character" w:customStyle="1" w:styleId="Heading6Char">
    <w:name w:val="Heading 6 Char"/>
    <w:basedOn w:val="DefaultParagraphFont"/>
    <w:link w:val="Heading6"/>
    <w:uiPriority w:val="9"/>
    <w:rsid w:val="00605C1E"/>
    <w:rPr>
      <w:i/>
      <w:sz w:val="22"/>
      <w:lang w:val="sv-SE"/>
    </w:rPr>
  </w:style>
  <w:style w:type="character" w:customStyle="1" w:styleId="Heading7Char">
    <w:name w:val="Heading 7 Char"/>
    <w:basedOn w:val="DefaultParagraphFont"/>
    <w:link w:val="Heading7"/>
    <w:uiPriority w:val="9"/>
    <w:rsid w:val="00605C1E"/>
    <w:rPr>
      <w:rFonts w:ascii="Arial" w:hAnsi="Arial"/>
      <w:sz w:val="24"/>
      <w:lang w:val="sv-SE"/>
    </w:rPr>
  </w:style>
  <w:style w:type="character" w:customStyle="1" w:styleId="Heading8Char">
    <w:name w:val="Heading 8 Char"/>
    <w:basedOn w:val="DefaultParagraphFont"/>
    <w:link w:val="Heading8"/>
    <w:uiPriority w:val="9"/>
    <w:rsid w:val="00605C1E"/>
    <w:rPr>
      <w:rFonts w:ascii="Arial" w:hAnsi="Arial"/>
      <w:i/>
      <w:sz w:val="24"/>
      <w:lang w:val="sv-SE"/>
    </w:rPr>
  </w:style>
  <w:style w:type="character" w:customStyle="1" w:styleId="Heading9Char">
    <w:name w:val="Heading 9 Char"/>
    <w:basedOn w:val="DefaultParagraphFont"/>
    <w:link w:val="Heading9"/>
    <w:uiPriority w:val="9"/>
    <w:rsid w:val="00605C1E"/>
    <w:rPr>
      <w:rFonts w:ascii="Arial" w:hAnsi="Arial"/>
      <w:b/>
      <w:i/>
      <w:sz w:val="18"/>
      <w:lang w:val="sv-SE"/>
    </w:rPr>
  </w:style>
  <w:style w:type="paragraph" w:styleId="TOCHeading">
    <w:name w:val="TOC Heading"/>
    <w:basedOn w:val="Normal"/>
    <w:next w:val="Normal"/>
    <w:uiPriority w:val="39"/>
    <w:unhideWhenUsed/>
    <w:qFormat/>
    <w:rsid w:val="00605C1E"/>
    <w:pPr>
      <w:widowControl/>
      <w:spacing w:after="240"/>
    </w:pPr>
    <w:rPr>
      <w:lang w:val="en-GB"/>
    </w:rPr>
  </w:style>
  <w:style w:type="paragraph" w:customStyle="1" w:styleId="EPFooter2">
    <w:name w:val="EPFooter2"/>
    <w:basedOn w:val="Normal"/>
    <w:next w:val="Normal"/>
    <w:link w:val="EPFooter2Char"/>
    <w:rsid w:val="00605C1E"/>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605C1E"/>
    <w:pPr>
      <w:spacing w:after="240"/>
    </w:pPr>
  </w:style>
  <w:style w:type="paragraph" w:customStyle="1" w:styleId="TOCPage">
    <w:name w:val="TOC Page"/>
    <w:basedOn w:val="Normal"/>
    <w:next w:val="TOC1"/>
    <w:rsid w:val="00605C1E"/>
    <w:pPr>
      <w:keepNext/>
      <w:spacing w:after="240"/>
      <w:jc w:val="right"/>
    </w:pPr>
    <w:rPr>
      <w:rFonts w:ascii="Arial" w:hAnsi="Arial"/>
      <w:b/>
    </w:rPr>
  </w:style>
  <w:style w:type="paragraph" w:customStyle="1" w:styleId="PageHeading">
    <w:name w:val="PageHeading"/>
    <w:basedOn w:val="Normal"/>
    <w:rsid w:val="00605C1E"/>
    <w:pPr>
      <w:keepNext/>
      <w:spacing w:after="480"/>
      <w:jc w:val="center"/>
    </w:pPr>
    <w:rPr>
      <w:rFonts w:ascii="Arial" w:hAnsi="Arial" w:cs="Arial"/>
      <w:b/>
    </w:rPr>
  </w:style>
  <w:style w:type="paragraph" w:customStyle="1" w:styleId="NormalBold">
    <w:name w:val="NormalBold"/>
    <w:basedOn w:val="Normal"/>
    <w:rsid w:val="00605C1E"/>
    <w:rPr>
      <w:b/>
    </w:rPr>
  </w:style>
  <w:style w:type="paragraph" w:customStyle="1" w:styleId="NormalHanging12a">
    <w:name w:val="NormalHanging12a"/>
    <w:basedOn w:val="Normal"/>
    <w:link w:val="NormalHanging12aChar"/>
    <w:rsid w:val="00605C1E"/>
    <w:pPr>
      <w:spacing w:after="240"/>
      <w:ind w:left="567" w:hanging="567"/>
    </w:pPr>
  </w:style>
  <w:style w:type="paragraph" w:customStyle="1" w:styleId="CoverNormal24a">
    <w:name w:val="CoverNormal24a"/>
    <w:basedOn w:val="Normal"/>
    <w:rsid w:val="00605C1E"/>
    <w:pPr>
      <w:spacing w:after="480"/>
      <w:ind w:left="1417"/>
    </w:pPr>
  </w:style>
  <w:style w:type="paragraph" w:customStyle="1" w:styleId="CoverNormal">
    <w:name w:val="CoverNormal"/>
    <w:basedOn w:val="Normal"/>
    <w:rsid w:val="00605C1E"/>
    <w:pPr>
      <w:ind w:left="1418"/>
    </w:pPr>
  </w:style>
  <w:style w:type="paragraph" w:customStyle="1" w:styleId="CoverReference">
    <w:name w:val="CoverReference"/>
    <w:basedOn w:val="Normal"/>
    <w:rsid w:val="00605C1E"/>
    <w:pPr>
      <w:spacing w:before="1080"/>
      <w:jc w:val="right"/>
    </w:pPr>
    <w:rPr>
      <w:rFonts w:ascii="Arial" w:hAnsi="Arial" w:cs="Arial"/>
      <w:b/>
    </w:rPr>
  </w:style>
  <w:style w:type="paragraph" w:customStyle="1" w:styleId="CoverDocType24a">
    <w:name w:val="CoverDocType24a"/>
    <w:basedOn w:val="Normal"/>
    <w:rsid w:val="00605C1E"/>
    <w:pPr>
      <w:spacing w:after="480"/>
      <w:ind w:left="1418"/>
    </w:pPr>
    <w:rPr>
      <w:rFonts w:ascii="Arial" w:hAnsi="Arial"/>
      <w:b/>
      <w:sz w:val="48"/>
    </w:rPr>
  </w:style>
  <w:style w:type="paragraph" w:customStyle="1" w:styleId="CoverDate">
    <w:name w:val="CoverDate"/>
    <w:basedOn w:val="Normal"/>
    <w:rsid w:val="00605C1E"/>
    <w:pPr>
      <w:spacing w:before="240" w:after="1200"/>
    </w:pPr>
  </w:style>
  <w:style w:type="paragraph" w:customStyle="1" w:styleId="EPBody">
    <w:name w:val="EPBody"/>
    <w:basedOn w:val="Normal"/>
    <w:rsid w:val="00605C1E"/>
    <w:pPr>
      <w:jc w:val="center"/>
    </w:pPr>
    <w:rPr>
      <w:rFonts w:ascii="Arial" w:hAnsi="Arial" w:cs="Arial"/>
      <w:i/>
      <w:sz w:val="22"/>
      <w:szCs w:val="22"/>
    </w:rPr>
  </w:style>
  <w:style w:type="paragraph" w:customStyle="1" w:styleId="EPFooter">
    <w:name w:val="EPFooter"/>
    <w:basedOn w:val="Normal"/>
    <w:link w:val="EPFooterChar"/>
    <w:rsid w:val="00605C1E"/>
    <w:pPr>
      <w:tabs>
        <w:tab w:val="center" w:pos="4535"/>
        <w:tab w:val="right" w:pos="9071"/>
      </w:tabs>
      <w:spacing w:before="240" w:after="240"/>
    </w:pPr>
    <w:rPr>
      <w:color w:val="010000"/>
      <w:sz w:val="22"/>
    </w:rPr>
  </w:style>
  <w:style w:type="paragraph" w:styleId="Header">
    <w:name w:val="header"/>
    <w:basedOn w:val="Normal"/>
    <w:link w:val="HeaderChar"/>
    <w:uiPriority w:val="99"/>
    <w:rsid w:val="00605C1E"/>
    <w:pPr>
      <w:tabs>
        <w:tab w:val="center" w:pos="4513"/>
        <w:tab w:val="right" w:pos="9026"/>
      </w:tabs>
    </w:pPr>
  </w:style>
  <w:style w:type="character" w:customStyle="1" w:styleId="HeaderChar">
    <w:name w:val="Header Char"/>
    <w:basedOn w:val="DefaultParagraphFont"/>
    <w:link w:val="Header"/>
    <w:uiPriority w:val="99"/>
    <w:rsid w:val="00605C1E"/>
    <w:rPr>
      <w:sz w:val="24"/>
      <w:lang w:val="sv-SE"/>
    </w:rPr>
  </w:style>
  <w:style w:type="paragraph" w:customStyle="1" w:styleId="EPComma">
    <w:name w:val="EPComma"/>
    <w:basedOn w:val="Normal"/>
    <w:rsid w:val="00605C1E"/>
    <w:pPr>
      <w:spacing w:before="480" w:after="240"/>
    </w:pPr>
  </w:style>
  <w:style w:type="paragraph" w:customStyle="1" w:styleId="Action">
    <w:name w:val="Action"/>
    <w:basedOn w:val="Normal"/>
    <w:rsid w:val="00605C1E"/>
    <w:pPr>
      <w:tabs>
        <w:tab w:val="left" w:pos="357"/>
      </w:tabs>
      <w:spacing w:after="240"/>
      <w:ind w:left="357" w:hanging="357"/>
    </w:pPr>
  </w:style>
  <w:style w:type="paragraph" w:customStyle="1" w:styleId="FootnoteReference1">
    <w:name w:val="Footnote Reference1"/>
    <w:basedOn w:val="Normal"/>
    <w:link w:val="FootnoteReference"/>
    <w:rsid w:val="00605C1E"/>
    <w:pPr>
      <w:widowControl/>
      <w:spacing w:after="160" w:line="240" w:lineRule="exact"/>
    </w:pPr>
    <w:rPr>
      <w:sz w:val="20"/>
      <w:vertAlign w:val="superscript"/>
      <w:lang w:val="en-GB"/>
    </w:rPr>
  </w:style>
  <w:style w:type="paragraph" w:customStyle="1" w:styleId="action0">
    <w:name w:val="action"/>
    <w:basedOn w:val="Normal"/>
    <w:rsid w:val="00605C1E"/>
    <w:pPr>
      <w:widowControl/>
      <w:spacing w:after="240"/>
      <w:ind w:left="357" w:hanging="357"/>
    </w:pPr>
    <w:rPr>
      <w:rFonts w:eastAsiaTheme="minorHAnsi"/>
      <w:szCs w:val="24"/>
    </w:rPr>
  </w:style>
  <w:style w:type="paragraph" w:styleId="Footer">
    <w:name w:val="footer"/>
    <w:basedOn w:val="Normal"/>
    <w:link w:val="FooterChar"/>
    <w:uiPriority w:val="99"/>
    <w:rsid w:val="00605C1E"/>
    <w:pPr>
      <w:tabs>
        <w:tab w:val="center" w:pos="4513"/>
        <w:tab w:val="right" w:pos="9026"/>
      </w:tabs>
    </w:pPr>
  </w:style>
  <w:style w:type="character" w:customStyle="1" w:styleId="FooterChar">
    <w:name w:val="Footer Char"/>
    <w:basedOn w:val="DefaultParagraphFont"/>
    <w:link w:val="Footer"/>
    <w:uiPriority w:val="99"/>
    <w:rsid w:val="00605C1E"/>
    <w:rPr>
      <w:sz w:val="24"/>
      <w:lang w:val="sv-SE"/>
    </w:rPr>
  </w:style>
  <w:style w:type="character" w:customStyle="1" w:styleId="doceo-font-family-base">
    <w:name w:val="doceo-font-family-base"/>
    <w:basedOn w:val="DefaultParagraphFont"/>
    <w:rsid w:val="00605C1E"/>
  </w:style>
  <w:style w:type="paragraph" w:styleId="BalloonText">
    <w:name w:val="Balloon Text"/>
    <w:basedOn w:val="Normal"/>
    <w:link w:val="BalloonTextChar"/>
    <w:uiPriority w:val="99"/>
    <w:unhideWhenUsed/>
    <w:rsid w:val="00605C1E"/>
    <w:rPr>
      <w:rFonts w:ascii="Segoe UI" w:hAnsi="Segoe UI" w:cs="Segoe UI"/>
      <w:sz w:val="18"/>
      <w:szCs w:val="18"/>
    </w:rPr>
  </w:style>
  <w:style w:type="character" w:customStyle="1" w:styleId="BalloonTextChar">
    <w:name w:val="Balloon Text Char"/>
    <w:basedOn w:val="DefaultParagraphFont"/>
    <w:link w:val="BalloonText"/>
    <w:uiPriority w:val="99"/>
    <w:rsid w:val="00605C1E"/>
    <w:rPr>
      <w:rFonts w:ascii="Segoe UI" w:hAnsi="Segoe UI" w:cs="Segoe UI"/>
      <w:sz w:val="18"/>
      <w:szCs w:val="18"/>
      <w:lang w:val="sv-SE"/>
    </w:rPr>
  </w:style>
  <w:style w:type="character" w:customStyle="1" w:styleId="NormalHanging12aChar">
    <w:name w:val="NormalHanging12a Char"/>
    <w:basedOn w:val="DefaultParagraphFont"/>
    <w:link w:val="NormalHanging12a"/>
    <w:locked/>
    <w:rsid w:val="00605C1E"/>
    <w:rPr>
      <w:sz w:val="24"/>
      <w:lang w:val="sv-SE"/>
    </w:rPr>
  </w:style>
  <w:style w:type="character" w:styleId="Emphasis">
    <w:name w:val="Emphasis"/>
    <w:basedOn w:val="DefaultParagraphFont"/>
    <w:uiPriority w:val="20"/>
    <w:qFormat/>
    <w:rsid w:val="00605C1E"/>
    <w:rPr>
      <w:i/>
      <w:iCs/>
    </w:rPr>
  </w:style>
  <w:style w:type="paragraph" w:customStyle="1" w:styleId="Normal24a">
    <w:name w:val="Normal24a"/>
    <w:basedOn w:val="Normal"/>
    <w:rsid w:val="00605C1E"/>
    <w:pPr>
      <w:spacing w:after="480"/>
    </w:pPr>
  </w:style>
  <w:style w:type="paragraph" w:customStyle="1" w:styleId="NormalBoldCenter">
    <w:name w:val="NormalBoldCenter"/>
    <w:basedOn w:val="Normal"/>
    <w:rsid w:val="00605C1E"/>
    <w:pPr>
      <w:jc w:val="center"/>
    </w:pPr>
    <w:rPr>
      <w:b/>
    </w:rPr>
  </w:style>
  <w:style w:type="paragraph" w:customStyle="1" w:styleId="RollCallVotes">
    <w:name w:val="RollCallVotes"/>
    <w:basedOn w:val="Normal"/>
    <w:rsid w:val="00605C1E"/>
    <w:pPr>
      <w:spacing w:before="120" w:after="120"/>
      <w:jc w:val="center"/>
    </w:pPr>
    <w:rPr>
      <w:b/>
      <w:bCs/>
      <w:snapToGrid w:val="0"/>
      <w:sz w:val="16"/>
      <w:lang w:eastAsia="en-US"/>
    </w:rPr>
  </w:style>
  <w:style w:type="paragraph" w:customStyle="1" w:styleId="RollCallTabs">
    <w:name w:val="RollCallTabs"/>
    <w:basedOn w:val="Normal"/>
    <w:qFormat/>
    <w:rsid w:val="00605C1E"/>
    <w:pPr>
      <w:tabs>
        <w:tab w:val="center" w:pos="284"/>
        <w:tab w:val="left" w:pos="426"/>
      </w:tabs>
    </w:pPr>
    <w:rPr>
      <w:snapToGrid w:val="0"/>
      <w:lang w:eastAsia="en-US"/>
    </w:rPr>
  </w:style>
  <w:style w:type="paragraph" w:customStyle="1" w:styleId="RollCallSymbols14pt">
    <w:name w:val="RollCallSymbols14pt"/>
    <w:basedOn w:val="Normal"/>
    <w:rsid w:val="00605C1E"/>
    <w:pPr>
      <w:spacing w:before="120" w:after="120"/>
      <w:jc w:val="center"/>
    </w:pPr>
    <w:rPr>
      <w:rFonts w:ascii="Arial" w:hAnsi="Arial"/>
      <w:b/>
      <w:bCs/>
      <w:snapToGrid w:val="0"/>
      <w:sz w:val="28"/>
      <w:lang w:eastAsia="en-US"/>
    </w:rPr>
  </w:style>
  <w:style w:type="paragraph" w:customStyle="1" w:styleId="RollCallTable">
    <w:name w:val="RollCallTable"/>
    <w:basedOn w:val="Normal"/>
    <w:rsid w:val="00605C1E"/>
    <w:pPr>
      <w:spacing w:before="120" w:after="120"/>
    </w:pPr>
    <w:rPr>
      <w:snapToGrid w:val="0"/>
      <w:sz w:val="16"/>
      <w:lang w:eastAsia="en-US"/>
    </w:rPr>
  </w:style>
  <w:style w:type="paragraph" w:styleId="Title">
    <w:name w:val="Title"/>
    <w:basedOn w:val="Normal"/>
    <w:next w:val="Normal"/>
    <w:link w:val="TitleChar"/>
    <w:uiPriority w:val="10"/>
    <w:qFormat/>
    <w:rsid w:val="00605C1E"/>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605C1E"/>
    <w:rPr>
      <w:rFonts w:ascii="Arial" w:eastAsiaTheme="majorEastAsia" w:hAnsi="Arial" w:cs="Arial"/>
      <w:b/>
      <w:bCs/>
      <w:kern w:val="28"/>
      <w:sz w:val="32"/>
      <w:szCs w:val="32"/>
      <w:lang w:val="sv-SE" w:eastAsia="en-US"/>
    </w:rPr>
  </w:style>
  <w:style w:type="paragraph" w:styleId="Subtitle">
    <w:name w:val="Subtitle"/>
    <w:basedOn w:val="Normal"/>
    <w:next w:val="Normal"/>
    <w:link w:val="SubtitleChar"/>
    <w:uiPriority w:val="11"/>
    <w:qFormat/>
    <w:rsid w:val="00605C1E"/>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605C1E"/>
    <w:rPr>
      <w:rFonts w:ascii="Arial" w:eastAsiaTheme="majorEastAsia" w:hAnsi="Arial" w:cs="Arial"/>
      <w:sz w:val="24"/>
      <w:szCs w:val="24"/>
      <w:lang w:val="sv-SE" w:eastAsia="en-US"/>
    </w:rPr>
  </w:style>
  <w:style w:type="character" w:styleId="Strong">
    <w:name w:val="Strong"/>
    <w:basedOn w:val="DefaultParagraphFont"/>
    <w:uiPriority w:val="22"/>
    <w:qFormat/>
    <w:rsid w:val="00605C1E"/>
    <w:rPr>
      <w:b/>
      <w:bCs/>
    </w:rPr>
  </w:style>
  <w:style w:type="paragraph" w:styleId="NoSpacing">
    <w:name w:val="No Spacing"/>
    <w:basedOn w:val="Normal"/>
    <w:uiPriority w:val="1"/>
    <w:qFormat/>
    <w:rsid w:val="00605C1E"/>
    <w:pPr>
      <w:widowControl/>
      <w:jc w:val="both"/>
    </w:pPr>
    <w:rPr>
      <w:rFonts w:eastAsiaTheme="minorHAnsi"/>
      <w:szCs w:val="32"/>
      <w:lang w:eastAsia="en-US"/>
    </w:rPr>
  </w:style>
  <w:style w:type="paragraph" w:styleId="ListParagraph">
    <w:name w:val="List Paragraph"/>
    <w:basedOn w:val="Normal"/>
    <w:uiPriority w:val="34"/>
    <w:qFormat/>
    <w:rsid w:val="00605C1E"/>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605C1E"/>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605C1E"/>
    <w:rPr>
      <w:rFonts w:eastAsiaTheme="minorHAnsi"/>
      <w:i/>
      <w:sz w:val="24"/>
      <w:szCs w:val="24"/>
      <w:lang w:val="sv-SE" w:eastAsia="en-US"/>
    </w:rPr>
  </w:style>
  <w:style w:type="paragraph" w:styleId="IntenseQuote">
    <w:name w:val="Intense Quote"/>
    <w:basedOn w:val="Normal"/>
    <w:next w:val="Normal"/>
    <w:link w:val="IntenseQuoteChar"/>
    <w:uiPriority w:val="30"/>
    <w:qFormat/>
    <w:rsid w:val="00605C1E"/>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605C1E"/>
    <w:rPr>
      <w:rFonts w:eastAsiaTheme="minorHAnsi"/>
      <w:b/>
      <w:i/>
      <w:sz w:val="24"/>
      <w:szCs w:val="22"/>
      <w:lang w:val="sv-SE" w:eastAsia="en-US"/>
    </w:rPr>
  </w:style>
  <w:style w:type="character" w:styleId="SubtleEmphasis">
    <w:name w:val="Subtle Emphasis"/>
    <w:uiPriority w:val="19"/>
    <w:qFormat/>
    <w:rsid w:val="00605C1E"/>
    <w:rPr>
      <w:i/>
      <w:color w:val="5A5A5A" w:themeColor="text1" w:themeTint="A5"/>
    </w:rPr>
  </w:style>
  <w:style w:type="character" w:styleId="IntenseEmphasis">
    <w:name w:val="Intense Emphasis"/>
    <w:basedOn w:val="DefaultParagraphFont"/>
    <w:uiPriority w:val="21"/>
    <w:qFormat/>
    <w:rsid w:val="00605C1E"/>
    <w:rPr>
      <w:b/>
      <w:i/>
      <w:sz w:val="24"/>
      <w:szCs w:val="24"/>
      <w:u w:val="single"/>
    </w:rPr>
  </w:style>
  <w:style w:type="character" w:styleId="SubtleReference">
    <w:name w:val="Subtle Reference"/>
    <w:basedOn w:val="DefaultParagraphFont"/>
    <w:uiPriority w:val="31"/>
    <w:qFormat/>
    <w:rsid w:val="00605C1E"/>
    <w:rPr>
      <w:sz w:val="24"/>
      <w:szCs w:val="24"/>
      <w:u w:val="single"/>
    </w:rPr>
  </w:style>
  <w:style w:type="character" w:styleId="IntenseReference">
    <w:name w:val="Intense Reference"/>
    <w:basedOn w:val="DefaultParagraphFont"/>
    <w:uiPriority w:val="32"/>
    <w:qFormat/>
    <w:rsid w:val="00605C1E"/>
    <w:rPr>
      <w:b/>
      <w:sz w:val="24"/>
      <w:u w:val="single"/>
    </w:rPr>
  </w:style>
  <w:style w:type="character" w:styleId="BookTitle">
    <w:name w:val="Book Title"/>
    <w:basedOn w:val="DefaultParagraphFont"/>
    <w:uiPriority w:val="33"/>
    <w:qFormat/>
    <w:rsid w:val="00605C1E"/>
    <w:rPr>
      <w:rFonts w:asciiTheme="majorHAnsi" w:eastAsiaTheme="majorEastAsia" w:hAnsiTheme="majorHAnsi"/>
      <w:b/>
      <w:i/>
      <w:sz w:val="24"/>
      <w:szCs w:val="24"/>
    </w:rPr>
  </w:style>
  <w:style w:type="paragraph" w:customStyle="1" w:styleId="TableTitle">
    <w:name w:val="Table Title"/>
    <w:basedOn w:val="Normal"/>
    <w:uiPriority w:val="99"/>
    <w:rsid w:val="00605C1E"/>
    <w:pPr>
      <w:keepNext/>
      <w:widowControl/>
      <w:spacing w:before="120" w:after="120"/>
    </w:pPr>
    <w:rPr>
      <w:rFonts w:eastAsiaTheme="minorEastAsia"/>
      <w:sz w:val="20"/>
    </w:rPr>
  </w:style>
  <w:style w:type="paragraph" w:customStyle="1" w:styleId="Tablesubtitle">
    <w:name w:val="Table subtitle"/>
    <w:basedOn w:val="Normal"/>
    <w:next w:val="Normal"/>
    <w:uiPriority w:val="99"/>
    <w:rsid w:val="00605C1E"/>
    <w:pPr>
      <w:keepNext/>
      <w:widowControl/>
    </w:pPr>
    <w:rPr>
      <w:rFonts w:eastAsiaTheme="minorEastAsia"/>
      <w:sz w:val="18"/>
      <w:szCs w:val="18"/>
    </w:rPr>
  </w:style>
  <w:style w:type="paragraph" w:customStyle="1" w:styleId="NormalRight">
    <w:name w:val="Normal Right"/>
    <w:basedOn w:val="Normal"/>
    <w:next w:val="Normal"/>
    <w:uiPriority w:val="99"/>
    <w:rsid w:val="00605C1E"/>
    <w:pPr>
      <w:widowControl/>
      <w:spacing w:before="120" w:after="120"/>
      <w:jc w:val="right"/>
    </w:pPr>
    <w:rPr>
      <w:rFonts w:eastAsiaTheme="minorEastAsia"/>
      <w:szCs w:val="24"/>
    </w:rPr>
  </w:style>
  <w:style w:type="paragraph" w:customStyle="1" w:styleId="ReusedInfo">
    <w:name w:val="ReusedInfo"/>
    <w:next w:val="Normal"/>
    <w:uiPriority w:val="99"/>
    <w:rsid w:val="00605C1E"/>
    <w:pPr>
      <w:shd w:val="clear" w:color="auto" w:fill="C0C0C0"/>
      <w:spacing w:before="60" w:after="60"/>
    </w:pPr>
    <w:rPr>
      <w:rFonts w:eastAsiaTheme="minorEastAsia"/>
      <w:lang w:val="sv-SE"/>
    </w:rPr>
  </w:style>
  <w:style w:type="paragraph" w:customStyle="1" w:styleId="Section">
    <w:name w:val="Section"/>
    <w:basedOn w:val="Normal"/>
    <w:next w:val="Normal"/>
    <w:uiPriority w:val="99"/>
    <w:rsid w:val="00605C1E"/>
    <w:pPr>
      <w:keepNext/>
      <w:widowControl/>
      <w:spacing w:before="480" w:after="120"/>
    </w:pPr>
    <w:rPr>
      <w:rFonts w:eastAsiaTheme="minorEastAsia"/>
      <w:b/>
      <w:bCs/>
      <w:smallCaps/>
      <w:sz w:val="44"/>
      <w:szCs w:val="44"/>
    </w:rPr>
  </w:style>
  <w:style w:type="paragraph" w:customStyle="1" w:styleId="Part">
    <w:name w:val="Part"/>
    <w:basedOn w:val="Normal"/>
    <w:next w:val="Normal"/>
    <w:uiPriority w:val="99"/>
    <w:rsid w:val="00605C1E"/>
    <w:pPr>
      <w:keepNext/>
      <w:widowControl/>
      <w:spacing w:before="480" w:after="120"/>
    </w:pPr>
    <w:rPr>
      <w:rFonts w:eastAsiaTheme="minorEastAsia"/>
      <w:b/>
      <w:bCs/>
      <w:smallCaps/>
      <w:sz w:val="40"/>
      <w:szCs w:val="40"/>
    </w:rPr>
  </w:style>
  <w:style w:type="paragraph" w:customStyle="1" w:styleId="Revenue">
    <w:name w:val="Revenue"/>
    <w:basedOn w:val="Normal"/>
    <w:next w:val="Normal"/>
    <w:uiPriority w:val="99"/>
    <w:rsid w:val="00605C1E"/>
    <w:pPr>
      <w:keepNext/>
      <w:widowControl/>
      <w:spacing w:before="480" w:after="120"/>
    </w:pPr>
    <w:rPr>
      <w:rFonts w:eastAsiaTheme="minorEastAsia"/>
      <w:b/>
      <w:bCs/>
      <w:smallCaps/>
      <w:sz w:val="36"/>
      <w:szCs w:val="36"/>
    </w:rPr>
  </w:style>
  <w:style w:type="paragraph" w:customStyle="1" w:styleId="Expenditure">
    <w:name w:val="Expenditure"/>
    <w:basedOn w:val="Normal"/>
    <w:next w:val="Normal"/>
    <w:uiPriority w:val="99"/>
    <w:rsid w:val="00605C1E"/>
    <w:pPr>
      <w:keepNext/>
      <w:widowControl/>
      <w:spacing w:before="480" w:after="120"/>
    </w:pPr>
    <w:rPr>
      <w:rFonts w:eastAsiaTheme="minorEastAsia"/>
      <w:b/>
      <w:bCs/>
      <w:smallCaps/>
      <w:sz w:val="36"/>
      <w:szCs w:val="36"/>
    </w:rPr>
  </w:style>
  <w:style w:type="paragraph" w:customStyle="1" w:styleId="title2">
    <w:name w:val="title2"/>
    <w:basedOn w:val="Normal"/>
    <w:next w:val="Normal"/>
    <w:uiPriority w:val="99"/>
    <w:rsid w:val="00605C1E"/>
    <w:pPr>
      <w:keepNext/>
      <w:widowControl/>
      <w:spacing w:before="480" w:after="120"/>
    </w:pPr>
    <w:rPr>
      <w:rFonts w:eastAsiaTheme="minorEastAsia"/>
      <w:b/>
      <w:bCs/>
      <w:smallCaps/>
      <w:sz w:val="32"/>
      <w:szCs w:val="32"/>
    </w:rPr>
  </w:style>
  <w:style w:type="paragraph" w:customStyle="1" w:styleId="Chapter">
    <w:name w:val="Chapter"/>
    <w:basedOn w:val="Normal"/>
    <w:next w:val="Normal"/>
    <w:uiPriority w:val="99"/>
    <w:rsid w:val="00605C1E"/>
    <w:pPr>
      <w:keepNext/>
      <w:widowControl/>
      <w:spacing w:before="480" w:after="120"/>
    </w:pPr>
    <w:rPr>
      <w:rFonts w:eastAsiaTheme="minorEastAsia"/>
      <w:b/>
      <w:bCs/>
      <w:smallCaps/>
      <w:sz w:val="28"/>
      <w:szCs w:val="28"/>
    </w:rPr>
  </w:style>
  <w:style w:type="paragraph" w:customStyle="1" w:styleId="Article">
    <w:name w:val="Article"/>
    <w:basedOn w:val="Normal"/>
    <w:next w:val="Normal"/>
    <w:uiPriority w:val="99"/>
    <w:rsid w:val="00605C1E"/>
    <w:pPr>
      <w:keepNext/>
      <w:widowControl/>
      <w:spacing w:before="480" w:after="120"/>
    </w:pPr>
    <w:rPr>
      <w:rFonts w:eastAsiaTheme="minorEastAsia"/>
      <w:b/>
      <w:bCs/>
      <w:i/>
      <w:iCs/>
      <w:szCs w:val="24"/>
    </w:rPr>
  </w:style>
  <w:style w:type="paragraph" w:customStyle="1" w:styleId="Item">
    <w:name w:val="Item"/>
    <w:basedOn w:val="Normal"/>
    <w:next w:val="Normal"/>
    <w:uiPriority w:val="99"/>
    <w:rsid w:val="00605C1E"/>
    <w:pPr>
      <w:keepNext/>
      <w:widowControl/>
      <w:spacing w:before="480" w:after="120"/>
    </w:pPr>
    <w:rPr>
      <w:rFonts w:eastAsiaTheme="minorEastAsia"/>
      <w:sz w:val="22"/>
      <w:szCs w:val="22"/>
    </w:rPr>
  </w:style>
  <w:style w:type="paragraph" w:customStyle="1" w:styleId="SubItem">
    <w:name w:val="SubItem"/>
    <w:basedOn w:val="Normal"/>
    <w:next w:val="Normal"/>
    <w:uiPriority w:val="99"/>
    <w:rsid w:val="00605C1E"/>
    <w:pPr>
      <w:keepNext/>
      <w:widowControl/>
      <w:spacing w:before="480" w:after="120"/>
    </w:pPr>
    <w:rPr>
      <w:rFonts w:eastAsiaTheme="minorEastAsia"/>
      <w:sz w:val="20"/>
    </w:rPr>
  </w:style>
  <w:style w:type="paragraph" w:customStyle="1" w:styleId="Annex">
    <w:name w:val="Annex"/>
    <w:basedOn w:val="Normal"/>
    <w:next w:val="Normal"/>
    <w:uiPriority w:val="99"/>
    <w:rsid w:val="00605C1E"/>
    <w:pPr>
      <w:keepNext/>
      <w:widowControl/>
      <w:spacing w:before="480" w:after="120"/>
    </w:pPr>
    <w:rPr>
      <w:rFonts w:eastAsiaTheme="minorEastAsia"/>
      <w:b/>
      <w:bCs/>
      <w:sz w:val="32"/>
      <w:szCs w:val="32"/>
    </w:rPr>
  </w:style>
  <w:style w:type="paragraph" w:customStyle="1" w:styleId="EndofAnnex">
    <w:name w:val="End of Annex"/>
    <w:basedOn w:val="Normal"/>
    <w:next w:val="Normal"/>
    <w:uiPriority w:val="99"/>
    <w:rsid w:val="00605C1E"/>
    <w:pPr>
      <w:widowControl/>
      <w:spacing w:before="120" w:after="120"/>
    </w:pPr>
    <w:rPr>
      <w:rFonts w:eastAsiaTheme="minorEastAsia"/>
      <w:i/>
      <w:iCs/>
      <w:sz w:val="20"/>
    </w:rPr>
  </w:style>
  <w:style w:type="paragraph" w:customStyle="1" w:styleId="Objective">
    <w:name w:val="Objective"/>
    <w:basedOn w:val="Normal"/>
    <w:next w:val="Normal"/>
    <w:uiPriority w:val="99"/>
    <w:rsid w:val="00605C1E"/>
    <w:pPr>
      <w:keepNext/>
      <w:widowControl/>
      <w:spacing w:before="120" w:after="120"/>
    </w:pPr>
    <w:rPr>
      <w:rFonts w:eastAsiaTheme="minorEastAsia"/>
      <w:i/>
      <w:iCs/>
      <w:sz w:val="20"/>
    </w:rPr>
  </w:style>
  <w:style w:type="paragraph" w:customStyle="1" w:styleId="Figures">
    <w:name w:val="Figures"/>
    <w:basedOn w:val="Normal"/>
    <w:next w:val="Normal"/>
    <w:uiPriority w:val="99"/>
    <w:rsid w:val="00605C1E"/>
    <w:pPr>
      <w:keepNext/>
      <w:widowControl/>
      <w:spacing w:before="120" w:after="120"/>
    </w:pPr>
    <w:rPr>
      <w:rFonts w:eastAsiaTheme="minorEastAsia"/>
      <w:i/>
      <w:iCs/>
      <w:sz w:val="20"/>
    </w:rPr>
  </w:style>
  <w:style w:type="paragraph" w:customStyle="1" w:styleId="Remarks">
    <w:name w:val="Remarks"/>
    <w:basedOn w:val="Normal"/>
    <w:next w:val="Normal"/>
    <w:uiPriority w:val="99"/>
    <w:rsid w:val="00605C1E"/>
    <w:pPr>
      <w:keepNext/>
      <w:widowControl/>
      <w:spacing w:before="120" w:after="120"/>
    </w:pPr>
    <w:rPr>
      <w:rFonts w:eastAsiaTheme="minorEastAsia"/>
      <w:i/>
      <w:iCs/>
      <w:sz w:val="20"/>
    </w:rPr>
  </w:style>
  <w:style w:type="paragraph" w:customStyle="1" w:styleId="ReserveCond">
    <w:name w:val="ReserveCond"/>
    <w:basedOn w:val="Normal"/>
    <w:next w:val="Normal"/>
    <w:uiPriority w:val="99"/>
    <w:rsid w:val="00605C1E"/>
    <w:pPr>
      <w:keepNext/>
      <w:widowControl/>
      <w:spacing w:before="120" w:after="120"/>
    </w:pPr>
    <w:rPr>
      <w:rFonts w:eastAsiaTheme="minorEastAsia"/>
      <w:i/>
      <w:iCs/>
      <w:sz w:val="20"/>
    </w:rPr>
  </w:style>
  <w:style w:type="paragraph" w:customStyle="1" w:styleId="Legalbasis">
    <w:name w:val="Legal basis"/>
    <w:basedOn w:val="Normal"/>
    <w:next w:val="Normal"/>
    <w:uiPriority w:val="99"/>
    <w:rsid w:val="00605C1E"/>
    <w:pPr>
      <w:keepNext/>
      <w:widowControl/>
      <w:spacing w:before="120" w:after="120"/>
    </w:pPr>
    <w:rPr>
      <w:rFonts w:eastAsiaTheme="minorEastAsia"/>
      <w:i/>
      <w:iCs/>
      <w:sz w:val="20"/>
    </w:rPr>
  </w:style>
  <w:style w:type="paragraph" w:customStyle="1" w:styleId="Reference">
    <w:name w:val="Reference"/>
    <w:basedOn w:val="Normal"/>
    <w:next w:val="Normal"/>
    <w:uiPriority w:val="99"/>
    <w:rsid w:val="00605C1E"/>
    <w:pPr>
      <w:keepNext/>
      <w:widowControl/>
      <w:spacing w:before="120" w:after="120"/>
    </w:pPr>
    <w:rPr>
      <w:rFonts w:eastAsiaTheme="minorEastAsia"/>
      <w:i/>
      <w:iCs/>
      <w:sz w:val="20"/>
    </w:rPr>
  </w:style>
  <w:style w:type="character" w:customStyle="1" w:styleId="tw4winExternal">
    <w:name w:val="tw4winExternal"/>
    <w:basedOn w:val="DefaultParagraphFont"/>
    <w:uiPriority w:val="99"/>
    <w:rsid w:val="00605C1E"/>
  </w:style>
  <w:style w:type="character" w:customStyle="1" w:styleId="tw4winInternal">
    <w:name w:val="tw4winInternal"/>
    <w:basedOn w:val="DefaultParagraphFont"/>
    <w:uiPriority w:val="99"/>
    <w:rsid w:val="00605C1E"/>
    <w:rPr>
      <w:sz w:val="16"/>
      <w:szCs w:val="16"/>
      <w:u w:val="dash"/>
      <w:shd w:val="clear" w:color="auto" w:fill="FFFF00"/>
    </w:rPr>
  </w:style>
  <w:style w:type="character" w:customStyle="1" w:styleId="ReusedInlineInfo">
    <w:name w:val="ReusedInlineInfo"/>
    <w:basedOn w:val="DefaultParagraphFont"/>
    <w:uiPriority w:val="99"/>
    <w:rsid w:val="00605C1E"/>
    <w:rPr>
      <w:sz w:val="16"/>
      <w:szCs w:val="16"/>
      <w:u w:val="dash"/>
      <w:shd w:val="clear" w:color="auto" w:fill="FFFF00"/>
    </w:rPr>
  </w:style>
  <w:style w:type="character" w:customStyle="1" w:styleId="Error">
    <w:name w:val="Error"/>
    <w:basedOn w:val="DefaultParagraphFont"/>
    <w:uiPriority w:val="99"/>
    <w:rsid w:val="00605C1E"/>
    <w:rPr>
      <w:shd w:val="clear" w:color="auto" w:fill="FF0000"/>
    </w:rPr>
  </w:style>
  <w:style w:type="character" w:styleId="CommentReference">
    <w:name w:val="annotation reference"/>
    <w:basedOn w:val="DefaultParagraphFont"/>
    <w:unhideWhenUsed/>
    <w:rsid w:val="00605C1E"/>
    <w:rPr>
      <w:sz w:val="16"/>
      <w:szCs w:val="16"/>
    </w:rPr>
  </w:style>
  <w:style w:type="paragraph" w:styleId="CommentText">
    <w:name w:val="annotation text"/>
    <w:basedOn w:val="Normal"/>
    <w:link w:val="CommentTextChar"/>
    <w:uiPriority w:val="99"/>
    <w:unhideWhenUsed/>
    <w:rsid w:val="00605C1E"/>
    <w:pPr>
      <w:widowControl/>
      <w:jc w:val="both"/>
    </w:pPr>
    <w:rPr>
      <w:rFonts w:eastAsiaTheme="minorHAnsi"/>
      <w:sz w:val="20"/>
      <w:lang w:eastAsia="en-US"/>
    </w:rPr>
  </w:style>
  <w:style w:type="character" w:customStyle="1" w:styleId="CommentTextChar">
    <w:name w:val="Comment Text Char"/>
    <w:basedOn w:val="DefaultParagraphFont"/>
    <w:link w:val="CommentText"/>
    <w:uiPriority w:val="99"/>
    <w:rsid w:val="00605C1E"/>
    <w:rPr>
      <w:rFonts w:eastAsiaTheme="minorHAnsi"/>
      <w:lang w:val="sv-SE" w:eastAsia="en-US"/>
    </w:rPr>
  </w:style>
  <w:style w:type="paragraph" w:styleId="CommentSubject">
    <w:name w:val="annotation subject"/>
    <w:basedOn w:val="CommentText"/>
    <w:next w:val="CommentText"/>
    <w:link w:val="CommentSubjectChar"/>
    <w:uiPriority w:val="99"/>
    <w:unhideWhenUsed/>
    <w:rsid w:val="00605C1E"/>
    <w:rPr>
      <w:b/>
      <w:bCs/>
    </w:rPr>
  </w:style>
  <w:style w:type="character" w:customStyle="1" w:styleId="CommentSubjectChar">
    <w:name w:val="Comment Subject Char"/>
    <w:basedOn w:val="CommentTextChar"/>
    <w:link w:val="CommentSubject"/>
    <w:uiPriority w:val="99"/>
    <w:rsid w:val="00605C1E"/>
    <w:rPr>
      <w:rFonts w:eastAsiaTheme="minorHAnsi"/>
      <w:b/>
      <w:bCs/>
      <w:lang w:val="sv-SE" w:eastAsia="en-US"/>
    </w:rPr>
  </w:style>
  <w:style w:type="paragraph" w:styleId="Revision">
    <w:name w:val="Revision"/>
    <w:hidden/>
    <w:uiPriority w:val="99"/>
    <w:semiHidden/>
    <w:rsid w:val="00605C1E"/>
    <w:rPr>
      <w:rFonts w:eastAsiaTheme="minorHAnsi"/>
      <w:sz w:val="24"/>
      <w:szCs w:val="24"/>
      <w:lang w:val="sv-SE" w:eastAsia="en-US"/>
    </w:rPr>
  </w:style>
  <w:style w:type="numbering" w:customStyle="1" w:styleId="NoList1">
    <w:name w:val="No List1"/>
    <w:next w:val="NoList"/>
    <w:uiPriority w:val="99"/>
    <w:semiHidden/>
    <w:unhideWhenUsed/>
    <w:rsid w:val="00605C1E"/>
  </w:style>
  <w:style w:type="numbering" w:customStyle="1" w:styleId="NoList2">
    <w:name w:val="No List2"/>
    <w:next w:val="NoList"/>
    <w:uiPriority w:val="99"/>
    <w:semiHidden/>
    <w:unhideWhenUsed/>
    <w:rsid w:val="00605C1E"/>
  </w:style>
  <w:style w:type="character" w:customStyle="1" w:styleId="EPFooter2Char">
    <w:name w:val="EPFooter2 Char"/>
    <w:basedOn w:val="DefaultParagraphFont"/>
    <w:link w:val="EPFooter2"/>
    <w:rsid w:val="00605C1E"/>
    <w:rPr>
      <w:rFonts w:ascii="Arial" w:hAnsi="Arial" w:cs="Arial"/>
      <w:b/>
      <w:sz w:val="48"/>
      <w:lang w:val="sv-SE"/>
    </w:rPr>
  </w:style>
  <w:style w:type="character" w:customStyle="1" w:styleId="EPFooterChar">
    <w:name w:val="EPFooter Char"/>
    <w:basedOn w:val="DefaultParagraphFont"/>
    <w:link w:val="EPFooter"/>
    <w:rsid w:val="00605C1E"/>
    <w:rPr>
      <w:color w:val="010000"/>
      <w:sz w:val="22"/>
      <w:lang w:val="sv-SE"/>
    </w:rPr>
  </w:style>
  <w:style w:type="character" w:styleId="Hyperlink">
    <w:name w:val="Hyperlink"/>
    <w:basedOn w:val="DefaultParagraphFont"/>
    <w:rsid w:val="00BF44E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9FD502-EF78-458F-BA83-6D919CE5E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2948</Words>
  <Characters>18976</Characters>
  <Application>Microsoft Office Word</Application>
  <DocSecurity>0</DocSecurity>
  <Lines>158</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2024-04-25T13:43:00Z</dcterms:created>
  <dcterms:modified xsi:type="dcterms:W3CDTF">2024-04-25T13:43:00Z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P9_TA-PROV(2024)0000_A9-0180_2024_SV_r</vt:lpwstr>
  </property>
  <property fmtid="{D5CDD505-2E9C-101B-9397-08002B2CF9AE}" pid="4" name="&lt;Type&gt;">
    <vt:lpwstr>RR</vt:lpwstr>
  </property>
</Properties>
</file>