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P9_TA(2024)0376</w:t>
      </w:r>
      <w:bookmarkEnd w:id="0"/>
    </w:p>
    <w:p>
      <w:pPr>
        <w:pStyle w:val="ATHeading2"/>
      </w:pPr>
      <w:bookmarkStart w:id="1" w:name="title"/>
      <w:r>
        <w:t>Vopred poskytované informácie o cestujúcich: posilnenie a uľahčenie kontrol na vonkajších hraniciach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A9-0409/2023</w:instrText>
      </w:r>
      <w:bookmarkEnd w:id="2"/>
      <w:r>
        <w:rPr>
          <w:i/>
        </w:rPr>
        <w:instrText xml:space="preserve"> - Spravodajca: Jan</w:instrText>
      </w:r>
      <w:r>
        <w:rPr>
          <w:i/>
        </w:rPr>
        <w:noBreakHyphen/>
        <w:instrText xml:space="preserve">Christoph Oetjen)"\l3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PE750.252</w:t>
      </w:r>
      <w:bookmarkEnd w:id="4"/>
    </w:p>
    <w:p>
      <w:pPr>
        <w:pStyle w:val="ATHeading3"/>
      </w:pPr>
      <w:bookmarkStart w:id="5" w:name="Sujet"/>
      <w:r>
        <w:t>Legislatívne uznesenie Európskeho parlamentu z 25. apríla 2024 o návrhu nariadenia Európskeho parlamentu a Rady o zhromažďovaní a prenose vopred poskytovaných informácií o cestujúcich (API) na účely posilnenia a uľahčenia kontrol na vonkajších hraniciach, o zmene nariadenia (EÚ) 2019/817 a nariadenia (EÚ) 2018/1726 a o zrušení smernice Rady 2004/82/ES</w:t>
      </w:r>
      <w:bookmarkEnd w:id="5"/>
      <w:r>
        <w:t xml:space="preserve"> </w:t>
      </w:r>
      <w:bookmarkStart w:id="6" w:name="References"/>
      <w:r>
        <w:t>(COM(2022)0729 – C9-0428/2022 – 2022/0424(COD))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(COM(2022)0729),</w:t>
      </w:r>
    </w:p>
    <w:p>
      <w:pPr>
        <w:pStyle w:val="NormalHanging12a"/>
      </w:pPr>
      <w:r>
        <w:t>–</w:t>
      </w:r>
      <w:r>
        <w:tab/>
        <w:t>so zreteľom na článok 294 ods. 2, článok 77 ods. 2 písm. b) a d) a článok 79 ods. 2 písm. c) Zmluvy o fungovaní Európskej únie, v súlade s ktorými Komisia predložila návrh Európskemu parlamentu (C9</w:t>
      </w:r>
      <w:r>
        <w:noBreakHyphen/>
        <w:t>0428/2022),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 27. apríla 2023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13. marca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stanovisko Výboru pre dopravu a cestovný ruch,</w:t>
      </w:r>
    </w:p>
    <w:p>
      <w:pPr>
        <w:pStyle w:val="NormalHanging12a"/>
      </w:pPr>
      <w:r>
        <w:t>–</w:t>
      </w:r>
      <w:r>
        <w:tab/>
        <w:t xml:space="preserve">so zreteľom na správu Výboru pre občianske slobody, spravodlivosť a vnútorné veci </w:t>
      </w:r>
      <w:r>
        <w:lastRenderedPageBreak/>
        <w:t>(A9-0409/2023),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outlineLvl w:val="0"/>
        <w:rPr>
          <w:b/>
        </w:rPr>
      </w:pPr>
      <w:r>
        <w:rPr>
          <w:b/>
        </w:rPr>
        <w:lastRenderedPageBreak/>
        <w:t>P9_TC1-COD(2022)0424</w:t>
      </w:r>
    </w:p>
    <w:p>
      <w:pPr>
        <w:pStyle w:val="AmNumberTabs"/>
        <w:rPr>
          <w:szCs w:val="24"/>
          <w:lang w:eastAsia="en-US"/>
        </w:rPr>
      </w:pPr>
      <w:r>
        <w:t xml:space="preserve">Pozícia Európskeho parlamentu prijatá v prvom čítaní 25. apríla 2024 na účely prijatia nariadenia Európskeho parlamentu a Rady (EÚ) 2025/... </w:t>
      </w:r>
      <w:r>
        <w:rPr>
          <w:szCs w:val="24"/>
          <w:lang w:eastAsia="en-US"/>
        </w:rPr>
        <w:t xml:space="preserve">o zhromažďovaní a prenose vopred poskytovaných informácií o cestujúcich na účely posilnenia a uľahčenia </w:t>
      </w:r>
      <w:r>
        <w:rPr>
          <w:i/>
          <w:szCs w:val="24"/>
          <w:lang w:eastAsia="en-US"/>
        </w:rPr>
        <w:t>kontrol</w:t>
      </w:r>
      <w:r>
        <w:rPr>
          <w:szCs w:val="24"/>
          <w:lang w:eastAsia="en-US"/>
        </w:rPr>
        <w:t xml:space="preserve"> na vonkajších hraniciach, ktorým sa menia nariadenia (EÚ) 2018/1726 a (EÚ) 2019/817 a zrušuje smernica Rady 2004/82/ES</w:t>
      </w:r>
    </w:p>
    <w:p>
      <w:pPr>
        <w:spacing w:before="360"/>
      </w:pPr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2025/12</w:t>
      </w:r>
      <w:bookmarkStart w:id="8" w:name="_GoBack"/>
      <w:bookmarkEnd w:id="8"/>
      <w:r>
        <w:rPr>
          <w:i/>
          <w:iCs/>
        </w:rPr>
        <w:t>.)</w:t>
      </w:r>
    </w:p>
    <w:p/>
    <w:p>
      <w:pPr>
        <w:pStyle w:val="AmNumberTabs"/>
        <w:rPr>
          <w:szCs w:val="24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sk-SK"/>
        </w:rPr>
        <w:t>Ú. v. EÚ C 228, 29.6.2023, s. 97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B57E3F0A">
      <w:start w:val="1"/>
      <w:numFmt w:val="decimal"/>
      <w:lvlText w:val="%1)"/>
      <w:lvlJc w:val="left"/>
      <w:pPr>
        <w:ind w:left="720" w:hanging="360"/>
      </w:pPr>
    </w:lvl>
    <w:lvl w:ilvl="1" w:tplc="AD2E6210" w:tentative="1">
      <w:start w:val="1"/>
      <w:numFmt w:val="lowerLetter"/>
      <w:lvlText w:val="%2."/>
      <w:lvlJc w:val="left"/>
      <w:pPr>
        <w:ind w:left="1440" w:hanging="360"/>
      </w:pPr>
    </w:lvl>
    <w:lvl w:ilvl="2" w:tplc="58AACB28" w:tentative="1">
      <w:start w:val="1"/>
      <w:numFmt w:val="lowerRoman"/>
      <w:lvlText w:val="%3."/>
      <w:lvlJc w:val="right"/>
      <w:pPr>
        <w:ind w:left="2160" w:hanging="180"/>
      </w:pPr>
    </w:lvl>
    <w:lvl w:ilvl="3" w:tplc="6DBC1D7A" w:tentative="1">
      <w:start w:val="1"/>
      <w:numFmt w:val="decimal"/>
      <w:lvlText w:val="%4."/>
      <w:lvlJc w:val="left"/>
      <w:pPr>
        <w:ind w:left="2880" w:hanging="360"/>
      </w:pPr>
    </w:lvl>
    <w:lvl w:ilvl="4" w:tplc="555282F0" w:tentative="1">
      <w:start w:val="1"/>
      <w:numFmt w:val="lowerLetter"/>
      <w:lvlText w:val="%5."/>
      <w:lvlJc w:val="left"/>
      <w:pPr>
        <w:ind w:left="3600" w:hanging="360"/>
      </w:pPr>
    </w:lvl>
    <w:lvl w:ilvl="5" w:tplc="D6563F12" w:tentative="1">
      <w:start w:val="1"/>
      <w:numFmt w:val="lowerRoman"/>
      <w:lvlText w:val="%6."/>
      <w:lvlJc w:val="right"/>
      <w:pPr>
        <w:ind w:left="4320" w:hanging="180"/>
      </w:pPr>
    </w:lvl>
    <w:lvl w:ilvl="6" w:tplc="2A288F52" w:tentative="1">
      <w:start w:val="1"/>
      <w:numFmt w:val="decimal"/>
      <w:lvlText w:val="%7."/>
      <w:lvlJc w:val="left"/>
      <w:pPr>
        <w:ind w:left="5040" w:hanging="360"/>
      </w:pPr>
    </w:lvl>
    <w:lvl w:ilvl="7" w:tplc="BD004C74" w:tentative="1">
      <w:start w:val="1"/>
      <w:numFmt w:val="lowerLetter"/>
      <w:lvlText w:val="%8."/>
      <w:lvlJc w:val="left"/>
      <w:pPr>
        <w:ind w:left="5760" w:hanging="360"/>
      </w:pPr>
    </w:lvl>
    <w:lvl w:ilvl="8" w:tplc="897E41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SK"/>
    <w:docVar w:name="dvnumam" w:val="138"/>
    <w:docVar w:name="dvpe" w:val="750.252"/>
    <w:docVar w:name="dvrapporteur" w:val="Spravodajca: "/>
    <w:docVar w:name="dvstar" w:val="***I"/>
    <w:docVar w:name="dvtitre" w:val="Legislatívne uznesenie Európskeho parlamentu z xx. apríla 2024 o návrhu nariadenia Európskeho parlamentu a Rady o zhromažďovaní a prenose vopred poskytovaných informácií o cestujúcich (API) na účely posilnenia a uľahčenia kontrol na vonkajších hraniciach, o zmene nariadenia (EÚ) 2019/817 a nariadenia (EÚ) 2018/1726 a o zrušení smernice Rady 2004/82/ES(COM(2022)0729 – C9-0428/2022 – 2022/042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260D2-7071-401F-ACA4-6836199C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  <w:lang w:val="sk-SK" w:eastAsia="en-US"/>
    </w:rPr>
  </w:style>
  <w:style w:type="character" w:customStyle="1" w:styleId="Footer2">
    <w:name w:val="Footer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FooterChar1">
    <w:name w:val="Footer Char1"/>
    <w:basedOn w:val="DefaultParagraphFont"/>
    <w:uiPriority w:val="99"/>
    <w:rPr>
      <w:sz w:val="24"/>
      <w:szCs w:val="24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LineSingle">
    <w:name w:val="LineSingle"/>
    <w:basedOn w:val="Normal"/>
    <w:next w:val="Normal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pPr>
      <w:spacing w:before="240" w:after="240"/>
    </w:pPr>
  </w:style>
  <w:style w:type="character" w:customStyle="1" w:styleId="diff-tte-added">
    <w:name w:val="diff-tte-added"/>
    <w:basedOn w:val="DefaultParagraphFont"/>
    <w:rPr>
      <w:b/>
      <w:i/>
    </w:rPr>
  </w:style>
  <w:style w:type="paragraph" w:styleId="Revision">
    <w:name w:val="Revision"/>
    <w:hidden/>
    <w:uiPriority w:val="99"/>
    <w:semiHidden/>
    <w:rPr>
      <w:sz w:val="24"/>
      <w:szCs w:val="24"/>
      <w:lang w:val="sk-SK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D7A92-9496-471B-BDF0-6BB5A7116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2025-01-13T14:50:00Z</dcterms:created>
  <dcterms:modified xsi:type="dcterms:W3CDTF">2025-01-13T14:50:00Z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