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44FFE" w:rsidRPr="001C2BE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D44FFE" w:rsidRPr="001C2BE9" w:rsidRDefault="00A011BE">
            <w:pPr>
              <w:pStyle w:val="EPName"/>
            </w:pPr>
            <w:bookmarkStart w:id="0" w:name="_GoBack"/>
            <w:bookmarkEnd w:id="0"/>
            <w:r w:rsidRPr="001C2BE9">
              <w:t>Európsky parlament</w:t>
            </w:r>
          </w:p>
          <w:p w:rsidR="00D44FFE" w:rsidRPr="001C2BE9" w:rsidRDefault="00A011B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2BE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D44FFE" w:rsidRPr="001C2BE9" w:rsidRDefault="00A011BE">
            <w:pPr>
              <w:pStyle w:val="EPLogo"/>
            </w:pPr>
            <w:r w:rsidRPr="001C2BE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4FFE" w:rsidRPr="001C2BE9" w:rsidRDefault="00D44FFE">
      <w:pPr>
        <w:pStyle w:val="LineTop"/>
      </w:pPr>
    </w:p>
    <w:p w:rsidR="00D44FFE" w:rsidRPr="001C2BE9" w:rsidRDefault="00A011BE">
      <w:pPr>
        <w:pStyle w:val="EPBodyTA1"/>
      </w:pPr>
      <w:r w:rsidRPr="001C2BE9">
        <w:t>PRIJATÉ TEXTY</w:t>
      </w:r>
    </w:p>
    <w:p w:rsidR="00D44FFE" w:rsidRPr="001C2BE9" w:rsidRDefault="00D44FFE">
      <w:pPr>
        <w:pStyle w:val="LineBottom"/>
      </w:pPr>
    </w:p>
    <w:p w:rsidR="00D44FFE" w:rsidRPr="001C2BE9" w:rsidRDefault="00A011BE">
      <w:pPr>
        <w:pStyle w:val="ATHeading1"/>
      </w:pPr>
      <w:bookmarkStart w:id="1" w:name="TANumber"/>
      <w:r w:rsidRPr="001C2BE9">
        <w:t>P9_TA(2024)0</w:t>
      </w:r>
      <w:r w:rsidR="002F72A4" w:rsidRPr="001C2BE9">
        <w:t>381</w:t>
      </w:r>
      <w:bookmarkEnd w:id="1"/>
    </w:p>
    <w:p w:rsidR="00D44FFE" w:rsidRPr="001C2BE9" w:rsidRDefault="00A011BE">
      <w:pPr>
        <w:pStyle w:val="ATHeading2"/>
      </w:pPr>
      <w:bookmarkStart w:id="2" w:name="title"/>
      <w:r w:rsidRPr="001C2BE9">
        <w:t>Pokusy o opätovné zavedenie zákona o zahraničných agentoch v Gruzínsku a obmedzenia vyplývajúce z tohto zákona pre občiansku spoločnosť</w:t>
      </w:r>
      <w:bookmarkEnd w:id="2"/>
    </w:p>
    <w:p w:rsidR="00D44FFE" w:rsidRPr="001C2BE9" w:rsidRDefault="00A011BE">
      <w:pPr>
        <w:rPr>
          <w:i/>
          <w:vanish/>
        </w:rPr>
      </w:pPr>
      <w:r w:rsidRPr="001C2BE9">
        <w:rPr>
          <w:i/>
        </w:rPr>
        <w:fldChar w:fldCharType="begin"/>
      </w:r>
      <w:r w:rsidRPr="001C2BE9">
        <w:rPr>
          <w:i/>
        </w:rPr>
        <w:instrText xml:space="preserve"> TC"(</w:instrText>
      </w:r>
      <w:bookmarkStart w:id="3" w:name="DocNumber"/>
      <w:r w:rsidRPr="001C2BE9">
        <w:rPr>
          <w:i/>
        </w:rPr>
        <w:instrText>B9-0244, 0246, 0247, 0248 a 0251/2024</w:instrText>
      </w:r>
      <w:bookmarkEnd w:id="3"/>
      <w:r w:rsidRPr="001C2BE9">
        <w:rPr>
          <w:i/>
        </w:rPr>
        <w:instrText xml:space="preserve">)"\l3 \n&gt; \* MERGEFORMAT </w:instrText>
      </w:r>
      <w:r w:rsidRPr="001C2BE9">
        <w:rPr>
          <w:i/>
        </w:rPr>
        <w:fldChar w:fldCharType="end"/>
      </w:r>
    </w:p>
    <w:p w:rsidR="00D44FFE" w:rsidRPr="001C2BE9" w:rsidRDefault="00A011BE">
      <w:pPr>
        <w:rPr>
          <w:vanish/>
        </w:rPr>
      </w:pPr>
      <w:bookmarkStart w:id="4" w:name="PE"/>
      <w:r w:rsidRPr="001C2BE9">
        <w:rPr>
          <w:vanish/>
        </w:rPr>
        <w:t>PE762.555</w:t>
      </w:r>
      <w:bookmarkEnd w:id="4"/>
    </w:p>
    <w:p w:rsidR="00D44FFE" w:rsidRPr="001C2BE9" w:rsidRDefault="00A011BE">
      <w:pPr>
        <w:pStyle w:val="ATHeading3"/>
      </w:pPr>
      <w:bookmarkStart w:id="5" w:name="Sujet"/>
      <w:r w:rsidRPr="001C2BE9">
        <w:t>Uznesenie Európskeho parlamentu z 25. apríla 2024 o pokusoch o opätovné zavedenie zákona o zahraničných agentoch v Gruzínsku a obmedzeniach vyplývajúcich z tohto zákona pre občiansku spoločnosť</w:t>
      </w:r>
      <w:bookmarkEnd w:id="5"/>
      <w:r w:rsidRPr="001C2BE9">
        <w:t xml:space="preserve"> </w:t>
      </w:r>
      <w:bookmarkStart w:id="6" w:name="References"/>
      <w:r w:rsidRPr="001C2BE9">
        <w:t>(2024/2703(RSP))</w:t>
      </w:r>
      <w:bookmarkEnd w:id="6"/>
    </w:p>
    <w:p w:rsidR="00D44FFE" w:rsidRPr="001C2BE9" w:rsidRDefault="00A011BE">
      <w:pPr>
        <w:pStyle w:val="EPComma"/>
      </w:pPr>
      <w:bookmarkStart w:id="7" w:name="TextBodyBegin"/>
      <w:bookmarkEnd w:id="7"/>
      <w:r w:rsidRPr="001C2BE9">
        <w:rPr>
          <w:i/>
        </w:rPr>
        <w:t>Európsky parlament</w:t>
      </w:r>
      <w:r w:rsidRPr="001C2BE9">
        <w:t>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svoje predchádzajúce uznesenia o Gruzínsku,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vyhlásenie vysokého predstaviteľa a komisára pre susedstvo a rozšírenie zo 17. apríla 2024 o prijatí zákona o „transparentnosti zahraničného vplyvu“,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vyhlásenie Európskej služby pre vonkajšiu činnosť zo 4. apríla 2024 o návrhu zákona o „transparentnosti zahraničného vplyvu“,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závery Európskej rady zo 14. a 15. decembra 2023,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oznámenie Komisie z 8. novembra 2023 s názvom Oznámenie o politike rozširovania EÚ za rok 2023 [COM(2023)0690],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 Dohodu o pridružení medzi Európskou úniou a Európskym spoločenstvom pre atómovú energiu a ich členskými štátmi na jednej strane a Gruzínskom na strane druhej</w:t>
      </w:r>
      <w:r w:rsidRPr="001C2BE9">
        <w:rPr>
          <w:rStyle w:val="FootnoteReference"/>
        </w:rPr>
        <w:footnoteReference w:id="1"/>
      </w:r>
      <w:r w:rsidRPr="001C2BE9">
        <w:t>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 Medzinárodný pakt o občianskych a politických právach,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>so zreteľom na Európsky dohovor o ľudských právach,</w:t>
      </w:r>
    </w:p>
    <w:p w:rsidR="00D44FFE" w:rsidRPr="001C2BE9" w:rsidRDefault="00A011BE">
      <w:pPr>
        <w:pStyle w:val="NormalHanging12a"/>
      </w:pPr>
      <w:r w:rsidRPr="001C2BE9">
        <w:t>–</w:t>
      </w:r>
      <w:r w:rsidRPr="001C2BE9">
        <w:tab/>
        <w:t xml:space="preserve">so zreteľom na spoločné vyhlásenie predsedu Výboru pre zahraničné veci, predsedníčky Delegácie pre vzťahy so </w:t>
      </w:r>
      <w:proofErr w:type="spellStart"/>
      <w:r w:rsidRPr="001C2BE9">
        <w:t>Zakaukazskom</w:t>
      </w:r>
      <w:proofErr w:type="spellEnd"/>
      <w:r w:rsidRPr="001C2BE9">
        <w:t xml:space="preserve"> a stáleho spravodajcu Európskeho parlamentu pre Gruzínsko z 18. apríla 2024 týkajúce sa opätovného zavedenia návrhu zákona o „transparentnosti zahraničného vplyvu“ v Gruzínsku,</w:t>
      </w:r>
    </w:p>
    <w:p w:rsidR="00D44FFE" w:rsidRPr="001C2BE9" w:rsidRDefault="00A011BE">
      <w:pPr>
        <w:pStyle w:val="NormalHanging12a"/>
      </w:pPr>
      <w:r w:rsidRPr="001C2BE9">
        <w:lastRenderedPageBreak/>
        <w:t>–</w:t>
      </w:r>
      <w:r w:rsidRPr="001C2BE9">
        <w:tab/>
        <w:t>so zreteľom na článok 132 ods. 2 a ods. 4 rokovacieho poriadku,</w:t>
      </w:r>
    </w:p>
    <w:p w:rsidR="00D44FFE" w:rsidRPr="001C2BE9" w:rsidRDefault="00A011BE">
      <w:pPr>
        <w:pStyle w:val="NormalHanging12a"/>
      </w:pPr>
      <w:r w:rsidRPr="001C2BE9">
        <w:t>A.</w:t>
      </w:r>
      <w:r w:rsidRPr="001C2BE9">
        <w:tab/>
        <w:t>keďže uplatňovanie slobody presvedčenia, prejavu, združovania a pokojného zhromažďovania je základným právom zakotveným v gruzínskej ústave;</w:t>
      </w:r>
    </w:p>
    <w:p w:rsidR="00D44FFE" w:rsidRPr="001C2BE9" w:rsidRDefault="00A011BE">
      <w:pPr>
        <w:pStyle w:val="NormalHanging12a"/>
      </w:pPr>
      <w:r w:rsidRPr="001C2BE9">
        <w:t>B.</w:t>
      </w:r>
      <w:r w:rsidRPr="001C2BE9">
        <w:tab/>
        <w:t>keďže Gruzínsko sa ako signatár Všeobecnej deklarácie ľudských práv a Európskeho dohovoru o ľudských právach a ako člen Rady Európy a Organizácie pre bezpečnosť a spoluprácu v Európe zaviazalo obhajovať zásady demokracie, právneho štátu a rešpektovať základné slobody a ľudské práva;</w:t>
      </w:r>
    </w:p>
    <w:p w:rsidR="00D44FFE" w:rsidRPr="001C2BE9" w:rsidRDefault="00A011BE">
      <w:pPr>
        <w:pStyle w:val="NormalHanging12a"/>
      </w:pPr>
      <w:r w:rsidRPr="001C2BE9">
        <w:t>C.</w:t>
      </w:r>
      <w:r w:rsidRPr="001C2BE9">
        <w:tab/>
        <w:t>keďže Európska únia očakáva, že Gruzínsko ako kandidátska krajina na pristúpenie k EÚ bude v plnej miere dodržiavať dohodu o pridružení a ďalšie medzinárodné záväzky, ktoré prijalo, a najmä že splní podmienky a prijme kroky stanovené v odporúčaní Komisie z 8. novembra 2023; keďže Európska rada sa rozhodla udeliť Gruzínsku štatút kandidátskej krajiny výlučne za predpokladu, že sa podniknú tieto kroky; keďže v tomto odporúčaní sa Gruzínsko vyzvalo, aby zabezpečilo slobodné fungovanie občianskej spoločnosti (krok 9) a bojovalo proti dezinformáciám namiereným proti EÚ a jej hodnotám (krok 1), a keďže tento návrh zákona porušuje oba tieto ciele;</w:t>
      </w:r>
    </w:p>
    <w:p w:rsidR="00D44FFE" w:rsidRPr="001C2BE9" w:rsidRDefault="00A011BE">
      <w:pPr>
        <w:pStyle w:val="NormalHanging12a"/>
      </w:pPr>
      <w:r w:rsidRPr="001C2BE9">
        <w:t>D.</w:t>
      </w:r>
      <w:r w:rsidRPr="001C2BE9">
        <w:tab/>
        <w:t xml:space="preserve">keďže 17. apríla 2024 gruzínsky parlament schválil tzv. zákon o transparentnosti zahraničného vplyvu v prvom čítaní 83 hlasmi, pričom nikto nebol proti napriek masovým protestom gruzínskych občanov, kritike zo strany gruzínskej prezidentky, ktorá návrh zákona označila za „sabotáž európskej cesty krajiny“, vnútroštátnemu a medzinárodnému odsúdeniu tohto zákona a opakovaným výzvam európskych partnerov Gruzínska, aby návrh zákona stiahli; keďže tento zákon by vyžadoval, aby sa organizácie, ktoré dostávajú viac ako 20 % finančných prostriedkov zo zahraničia, do dvoch mesiacov zaregistrovali ako „organizácie presadzujúce záujmy zahraničnej mocnosti“, a takto sa aj označovali; keďže tieto organizácie by podliehali dodatočnej kontrole, pričom by sa na </w:t>
      </w:r>
      <w:proofErr w:type="spellStart"/>
      <w:r w:rsidRPr="001C2BE9">
        <w:t>ne</w:t>
      </w:r>
      <w:proofErr w:type="spellEnd"/>
      <w:r w:rsidRPr="001C2BE9">
        <w:t xml:space="preserve"> vzťahovali požiadavky na podávanie správ a prípadne sankcie vrátane správnych sankcií až do výšky 25 000 GEL; keďže týmto zákonom by sa vážne obmedzila schopnosť médií a organizácií občianskej spoločnosti slobodne pôsobiť;</w:t>
      </w:r>
    </w:p>
    <w:p w:rsidR="00D44FFE" w:rsidRPr="001C2BE9" w:rsidRDefault="00A011BE">
      <w:pPr>
        <w:pStyle w:val="NormalHanging12a"/>
      </w:pPr>
      <w:r w:rsidRPr="001C2BE9">
        <w:t>E.</w:t>
      </w:r>
      <w:r w:rsidRPr="001C2BE9">
        <w:tab/>
        <w:t>keďže legitímny cieľ zabezpečiť transparentnosť mimovládnych organizácií, ktoré prijímajú zahraničné finančné prostriedky, v žiadnom prípade nemôže byť dôvodom na opatrenia, ktoré obmedzujú ich činnosti, najmä nie v oblasti demokracie, ľudských práv a právneho štátu;</w:t>
      </w:r>
    </w:p>
    <w:p w:rsidR="00D44FFE" w:rsidRPr="001C2BE9" w:rsidRDefault="00A011BE">
      <w:pPr>
        <w:pStyle w:val="NormalHanging12a"/>
      </w:pPr>
      <w:r w:rsidRPr="001C2BE9">
        <w:t>F.</w:t>
      </w:r>
      <w:r w:rsidRPr="001C2BE9">
        <w:tab/>
        <w:t xml:space="preserve">keďže tento návrh zákona sa predkladá v čase rastúcich útokov proti občianskej spoločnosti a nezávislým médiám v Gruzínsku, ako aj proti podpore demokracie zo strany medzinárodných darcov v zjavnom úsilí o zúženie občianskeho priestoru a umlčanie kritických hlasov vo verejnom priestore, okrem iného obmedzením prístupu k zahraničnému financovaniu; keďže tento návrh zákona je len posledným zo série predvolebných legislatívnych a ďalších iniciatív gruzínskej vlády, kde patrí aj oznámenie ústavných zmien na boj proti „propagande LGBT“ a zrušenie politiky, ktorou sa stanovujú rodové kvóty pre ženy v parlamente, čím sa ohrozujú demokratické reformy a prispieva sa tým k šíreniu dezinformácií o EÚ, jej hodnotách a politikách; keďže Európsky parlament už v predchádzajúcich uzneseniach vyzval na prijatie opatrení na obmedzenie deštruktívnej úlohy, ktorú v gruzínskej politike a ekonomike zohrávajú záujmy oligarchov, vrátane politicky motivovaného prenasledovania novinárov a politických oponentov, ako je bývalý prezident </w:t>
      </w:r>
      <w:proofErr w:type="spellStart"/>
      <w:r w:rsidRPr="001C2BE9">
        <w:t>Michail</w:t>
      </w:r>
      <w:proofErr w:type="spellEnd"/>
      <w:r w:rsidRPr="001C2BE9">
        <w:t xml:space="preserve"> </w:t>
      </w:r>
      <w:proofErr w:type="spellStart"/>
      <w:r w:rsidRPr="001C2BE9">
        <w:t>Saakašvili</w:t>
      </w:r>
      <w:proofErr w:type="spellEnd"/>
      <w:r w:rsidRPr="001C2BE9">
        <w:t xml:space="preserve">, v </w:t>
      </w:r>
      <w:r w:rsidRPr="001C2BE9">
        <w:lastRenderedPageBreak/>
        <w:t>prípade ktorého Európsky parlament vyzval na jeho prepustenie z humanitárnych dôvodov, aby mohol vyhľadať lekársku starostlivosť v zahraničí;</w:t>
      </w:r>
    </w:p>
    <w:p w:rsidR="00D44FFE" w:rsidRPr="001C2BE9" w:rsidRDefault="00A011BE">
      <w:pPr>
        <w:pStyle w:val="NormalHanging12a"/>
      </w:pPr>
      <w:r w:rsidRPr="001C2BE9">
        <w:t>1.</w:t>
      </w:r>
      <w:r w:rsidRPr="001C2BE9">
        <w:tab/>
        <w:t>dôrazne odsudzuje opätovné zavedenie kontroverzného návrhu zákona o „transparentnosti zahraničného vplyvu“, ktorým by sa zaviedli obmedzenia oslabujúce občiansku spoločnosť a nezávislé médiá, a tým by sa narušila ich možnosť slobodného pôsobenia, a preto vyvolal masové protesty gruzínskej verejnosti, organizácií občianskej spoločnosti, nezávislých médií, významných verejných činiteľov a európskych a medzinárodných partnerov krajiny;</w:t>
      </w:r>
    </w:p>
    <w:p w:rsidR="00D44FFE" w:rsidRPr="001C2BE9" w:rsidRDefault="00A011BE">
      <w:pPr>
        <w:pStyle w:val="NormalHanging12a"/>
      </w:pPr>
      <w:r w:rsidRPr="001C2BE9">
        <w:t>2.</w:t>
      </w:r>
      <w:r w:rsidRPr="001C2BE9">
        <w:tab/>
        <w:t>zdôrazňuje, že tento návrh zákona je nezlučiteľný s hodnotami a demokratickými zásadami EÚ, je v rozpore s ambíciami Gruzínska na členstvo v EÚ, poškodzuje medzinárodnú povesť Gruzínska a ohrozuje euroatlantickú integráciu krajiny;</w:t>
      </w:r>
    </w:p>
    <w:p w:rsidR="00D44FFE" w:rsidRPr="001C2BE9" w:rsidRDefault="00A011BE">
      <w:pPr>
        <w:pStyle w:val="NormalHanging12a"/>
      </w:pPr>
      <w:r w:rsidRPr="001C2BE9">
        <w:t>3.</w:t>
      </w:r>
      <w:r w:rsidRPr="001C2BE9">
        <w:tab/>
        <w:t>zdôrazňuje, že prístupové rokovania s EÚ by sa nemali začať, pokiaľ bude tento zákon súčasťou právneho poriadku Gruzínska;</w:t>
      </w:r>
    </w:p>
    <w:p w:rsidR="00D44FFE" w:rsidRPr="001C2BE9" w:rsidRDefault="00A011BE">
      <w:pPr>
        <w:pStyle w:val="NormalHanging12a"/>
      </w:pPr>
      <w:r w:rsidRPr="001C2BE9">
        <w:t>4.</w:t>
      </w:r>
      <w:r w:rsidRPr="001C2BE9">
        <w:tab/>
        <w:t>preto naliehavo vyzýva gruzínsky parlament, aby zastavil parlamentné konania vedúce k prijatiu tohto zákona, a gruzínsku vládu, aby splnila záväzky, ktoré prijala v marci 2023, keď oznámila, že bezpodmienečne stiahne svoj návrh zákona o uložení obmedzení občianskej spoločnosti a nezávislým médiám a že takýto zákon znova nenavrhne; vyzýva gruzínsku vládu, aby sa tiež zdržala predkladania akýchkoľvek ďalších legislatívnych návrhov, ktoré sú v rozpore so zásadami demokracie, právneho štátu, ľudských práv a základných slobôd, ktoré by tak boli v rozpore s kodanskými kritériami pre členstvo v EÚ;</w:t>
      </w:r>
    </w:p>
    <w:p w:rsidR="00D44FFE" w:rsidRPr="001C2BE9" w:rsidRDefault="00A011BE">
      <w:pPr>
        <w:pStyle w:val="NormalHanging12a"/>
      </w:pPr>
      <w:r w:rsidRPr="001C2BE9">
        <w:t>5.</w:t>
      </w:r>
      <w:r w:rsidRPr="001C2BE9">
        <w:tab/>
        <w:t>zdôrazňuje, že tento návrh zákona je v rozpore s túžbou veľkej väčšiny gruzínskeho ľudu žiť v demokratickej spoločnosti, pokračovať v demokratických reformách a reformách v oblasti právneho štátu, rozvíjať úzku spoluprácu s euroatlantickými partnermi a odhodlane napredovať k členstvu v EÚ;</w:t>
      </w:r>
    </w:p>
    <w:p w:rsidR="00D44FFE" w:rsidRPr="001C2BE9" w:rsidRDefault="00A011BE">
      <w:pPr>
        <w:pStyle w:val="NormalHanging12a"/>
      </w:pPr>
      <w:r w:rsidRPr="001C2BE9">
        <w:t>6.</w:t>
      </w:r>
      <w:r w:rsidRPr="001C2BE9">
        <w:tab/>
        <w:t>zdôrazňuje, že právo na slobodu prejavu a zhromažďovanie a právo na pokojný protest sú základnými právami a musia sa rešpektovať za každých okolností, a to najmä v krajine, ktorá sa usiluje vstúpiť do EÚ;</w:t>
      </w:r>
    </w:p>
    <w:p w:rsidR="00D44FFE" w:rsidRPr="001C2BE9" w:rsidRDefault="00A011BE">
      <w:pPr>
        <w:pStyle w:val="NormalHanging12a"/>
      </w:pPr>
      <w:r w:rsidRPr="001C2BE9">
        <w:t>7.</w:t>
      </w:r>
      <w:r w:rsidRPr="001C2BE9">
        <w:tab/>
        <w:t>naliehavo vyzýva gruzínsku vládu, aby rešpektovala ústavné práva gruzínskych občanov, a preto vyjadruje znepokojenie nad správami o poriadkovej polícii, ktorá používa neprimeranú silu na rozohnanie demonštrantov protestujúcich proti kontroverznému návrhu zákona; vyzýva gruzínske orgány, aby vyšetrili a brali na zodpovednosť osoby zodpovedné za nezákonné a neprimerané použitie sily;</w:t>
      </w:r>
    </w:p>
    <w:p w:rsidR="00D44FFE" w:rsidRPr="001C2BE9" w:rsidRDefault="00A011BE">
      <w:pPr>
        <w:pStyle w:val="NormalHanging12a"/>
      </w:pPr>
      <w:r w:rsidRPr="001C2BE9">
        <w:t>8.</w:t>
      </w:r>
      <w:r w:rsidRPr="001C2BE9">
        <w:tab/>
        <w:t>zdôrazňuje, že úloha verejného strážcu, ktorú vykonávajú občianska spoločnosť a nezávislé médiá, je nevyhnutná pre demokratickú spoločnosť a má zásadný význam pri presadzovaní reforiem súvisiacich s pristúpením k EÚ, a preto vyzýva gruzínske orgány, aby urobili všetko pre to, aby zaručili priaznivé prostredie, v ktorom môžu občianska spoločnosť a nezávislé médiá prosperovať;</w:t>
      </w:r>
    </w:p>
    <w:p w:rsidR="00D44FFE" w:rsidRPr="001C2BE9" w:rsidRDefault="00A011BE">
      <w:pPr>
        <w:pStyle w:val="NormalHanging12a"/>
      </w:pPr>
      <w:r w:rsidRPr="001C2BE9">
        <w:t>9.</w:t>
      </w:r>
      <w:r w:rsidRPr="001C2BE9">
        <w:tab/>
        <w:t xml:space="preserve">odsudzuje to, že gruzínska vláda sa inšpiruje podobnými veľmi kontroverznými ruskými právnymi predpismi, ako je ruský „zákon o zahraničných agentoch“, ktorý zámerne označuje a diskriminuje organizácie občianskej spoločnosti a aktivistov a využíva sa aj na potláčanie nesúhlasu s ruskou útočnou vojnou proti Ukrajine a na </w:t>
      </w:r>
      <w:r w:rsidRPr="001C2BE9">
        <w:lastRenderedPageBreak/>
        <w:t>umlčiavanie akýchkoľvek zostávajúcich kritických hlasov v krajine;</w:t>
      </w:r>
    </w:p>
    <w:p w:rsidR="00D44FFE" w:rsidRPr="001C2BE9" w:rsidRDefault="00A011BE">
      <w:pPr>
        <w:pStyle w:val="NormalHanging12a"/>
      </w:pPr>
      <w:r w:rsidRPr="001C2BE9">
        <w:t>10.</w:t>
      </w:r>
      <w:r w:rsidRPr="001C2BE9">
        <w:tab/>
        <w:t>pripomína, že Európska rada na svojom zasadnutí 14. a 15. decembra 2023 udelila Gruzínsku štatút kandidátskej krajiny za predpokladu, že sa podniknú príslušné kroky stanovené v odporúčaní Komisie z 8. novembra 2023; zdôrazňuje, že v tomto odporúčaní sa Gruzínsko vyzvalo, aby zabezpečilo slobodné fungovanie občianskej spoločnosti a bojovalo proti dezinformáciám namiereným proti EÚ a jej hodnotám, a že tento návrh zákona porušuje oba tieto ciele;</w:t>
      </w:r>
    </w:p>
    <w:p w:rsidR="00D44FFE" w:rsidRPr="001C2BE9" w:rsidRDefault="00A011BE">
      <w:pPr>
        <w:pStyle w:val="NormalHanging12a"/>
      </w:pPr>
      <w:r w:rsidRPr="001C2BE9">
        <w:t>11.</w:t>
      </w:r>
      <w:r w:rsidRPr="001C2BE9">
        <w:tab/>
        <w:t>pripomína gruzínskej vláde záväzky, ktoré prijala, a hodnoty a zásady, ku ktorým sa zaviazala pri podávaní žiadosti o členstvo v EÚ, a vyzýva podpredsedu Komisie/vysokého predstaviteľa Únie pre zahraničné veci a bezpečnostnú politiku, komisára pre susedstvo a rozšírenie a predsedníčku Komisie, aby urobili to isté;</w:t>
      </w:r>
    </w:p>
    <w:p w:rsidR="00D44FFE" w:rsidRPr="001C2BE9" w:rsidRDefault="00A011BE">
      <w:pPr>
        <w:pStyle w:val="NormalHanging12a"/>
      </w:pPr>
      <w:r w:rsidRPr="001C2BE9">
        <w:t>12.</w:t>
      </w:r>
      <w:r w:rsidRPr="001C2BE9">
        <w:tab/>
        <w:t>vyzýva Komisiu, aby predložila priebežné posúdenie pokroku Gruzínska v súvislosti s vykonávaním deviatich krokov uvedených v odporúčaní Komisie z 8. novembra 2023;</w:t>
      </w:r>
    </w:p>
    <w:p w:rsidR="00766E89" w:rsidRPr="001C2BE9" w:rsidRDefault="00105326">
      <w:pPr>
        <w:pStyle w:val="NormalHanging12a"/>
      </w:pPr>
      <w:r w:rsidRPr="001C2BE9">
        <w:t>13</w:t>
      </w:r>
      <w:r w:rsidR="00766E89" w:rsidRPr="001C2BE9">
        <w:t>.</w:t>
      </w:r>
      <w:r w:rsidR="00766E89" w:rsidRPr="001C2BE9">
        <w:tab/>
        <w:t>vyzýva Komisiu, aby urýchlene posúdila vplyv plánovaného zákona o „zahraničných agentoch“ Gruzínska na jeho nepretržité plnenie kritérií liberalizácie vízového režimu, najmä kritéria základných práv, ktoré je kľúčovou zložkou politiky EÚ v oblasti liberalizácie vízového režimu;</w:t>
      </w:r>
    </w:p>
    <w:p w:rsidR="00D44FFE" w:rsidRPr="001C2BE9" w:rsidRDefault="00105326">
      <w:pPr>
        <w:pStyle w:val="NormalHanging12a"/>
        <w:rPr>
          <w:i/>
        </w:rPr>
      </w:pPr>
      <w:r w:rsidRPr="001C2BE9">
        <w:t>14</w:t>
      </w:r>
      <w:r w:rsidR="00A011BE" w:rsidRPr="001C2BE9">
        <w:rPr>
          <w:i/>
        </w:rPr>
        <w:t>.</w:t>
      </w:r>
      <w:r w:rsidR="00A011BE" w:rsidRPr="001C2BE9">
        <w:rPr>
          <w:i/>
        </w:rPr>
        <w:tab/>
      </w:r>
      <w:r w:rsidR="00A011BE" w:rsidRPr="001C2BE9">
        <w:t>vyzýva Komisiu a členské štáty, aby posúdili vplyv tohto návrhu zákona na úlohu EÚ ako darcu v Gruzínsku a aby gruzínsku vládu a parlament jasne informovali o tomto možnom vplyve a jeho dôsledkoch pre financovanie z EÚ vo všeobecnosti;</w:t>
      </w:r>
    </w:p>
    <w:p w:rsidR="00D44FFE" w:rsidRPr="001C2BE9" w:rsidRDefault="00105326">
      <w:pPr>
        <w:pStyle w:val="NormalHanging12a"/>
      </w:pPr>
      <w:r w:rsidRPr="001C2BE9">
        <w:t>15</w:t>
      </w:r>
      <w:r w:rsidR="00A011BE" w:rsidRPr="001C2BE9">
        <w:t>.</w:t>
      </w:r>
      <w:r w:rsidR="00A011BE" w:rsidRPr="001C2BE9">
        <w:tab/>
        <w:t>naliehavo vyzýva gruzínsku vládu, aby sa vrátila na európsku cestu, dodržiavala svoj záväzok rešpektovať, posilňovať a podporovať demokraciu, právny štát, ľudské práva a základné slobody a skutočne a v plnej miere začala vykonávať kroky potrebné na splnenie podmienok na udelenie štatútu kandidátskej krajiny a členstva v EÚ v duchu angažovanosti a spolupráce s občianskou spoločnosťou a politickou opozíciou Gruzínska;</w:t>
      </w:r>
    </w:p>
    <w:p w:rsidR="00766E89" w:rsidRPr="001C2BE9" w:rsidRDefault="00105326">
      <w:pPr>
        <w:pStyle w:val="NormalHanging12a"/>
      </w:pPr>
      <w:r w:rsidRPr="001C2BE9">
        <w:t>16</w:t>
      </w:r>
      <w:r w:rsidR="00766E89" w:rsidRPr="001C2BE9">
        <w:t>.</w:t>
      </w:r>
      <w:r w:rsidR="00766E89" w:rsidRPr="001C2BE9">
        <w:tab/>
        <w:t xml:space="preserve">vyjadruje poľutovanie nad osobnou úlohou, ktorú jediný gruzínsky oligarcha </w:t>
      </w:r>
      <w:proofErr w:type="spellStart"/>
      <w:r w:rsidR="00766E89" w:rsidRPr="001C2BE9">
        <w:t>Bidzina</w:t>
      </w:r>
      <w:proofErr w:type="spellEnd"/>
      <w:r w:rsidR="00766E89" w:rsidRPr="001C2BE9">
        <w:t xml:space="preserve"> </w:t>
      </w:r>
      <w:proofErr w:type="spellStart"/>
      <w:r w:rsidR="00766E89" w:rsidRPr="001C2BE9">
        <w:t>Ivanišvili</w:t>
      </w:r>
      <w:proofErr w:type="spellEnd"/>
      <w:r w:rsidR="00766E89" w:rsidRPr="001C2BE9">
        <w:t xml:space="preserve">, ktorý sa vrátil do aktívnej politiky 30. decembra 2023, keď sa stal „čestným predsedom“ strany Gruzínsky sen, zohráva v súčasnej politickej kríze a pri ďalšom pokuse oslabiť západné smerovanie krajiny v prospech orientácie na Rusko; opakovane vyzýva Radu a demokratických partnerov EÚ, aby zvážili uloženie osobných sankcií </w:t>
      </w:r>
      <w:proofErr w:type="spellStart"/>
      <w:r w:rsidR="00766E89" w:rsidRPr="001C2BE9">
        <w:t>Ivanišvilimu</w:t>
      </w:r>
      <w:proofErr w:type="spellEnd"/>
      <w:r w:rsidR="00766E89" w:rsidRPr="001C2BE9">
        <w:t xml:space="preserve"> za jeho úlohu pri zhoršovaní politického procesu v Gruzínsku a práci proti záujmom jeho ľudu;</w:t>
      </w:r>
    </w:p>
    <w:p w:rsidR="00D44FFE" w:rsidRPr="001C2BE9" w:rsidRDefault="00105326">
      <w:pPr>
        <w:pStyle w:val="NormalHanging12a"/>
      </w:pPr>
      <w:r w:rsidRPr="001C2BE9">
        <w:t>17</w:t>
      </w:r>
      <w:r w:rsidR="00A011BE" w:rsidRPr="001C2BE9">
        <w:t>.</w:t>
      </w:r>
      <w:r w:rsidR="00A011BE" w:rsidRPr="001C2BE9">
        <w:tab/>
        <w:t>opakuje svoju neochvejnú podporu legitímnym európskym ambíciám gruzínskeho ľudu a jeho želaniu žiť v prosperujúcej krajine bez korupcie, ktorá plne rešpektuje základné slobody, chráni ľudské práva a zaručuje otvorenú spoločnosť a nezávislé médiá; zdôrazňuje, že rozhodnutie o udelení štatútu kandidátskej krajiny EÚ Gruzínsku bolo motivované želaním uznať úspechy a demokratické úsilie gruzínskej občianskej spoločnosti, ako aj obrovskú podporu jeho občanov v prospech pristúpenia k EÚ;</w:t>
      </w:r>
    </w:p>
    <w:p w:rsidR="00105326" w:rsidRPr="001C2BE9" w:rsidRDefault="00105326">
      <w:pPr>
        <w:pStyle w:val="NormalHanging12a"/>
      </w:pPr>
      <w:r w:rsidRPr="001C2BE9">
        <w:t>18.</w:t>
      </w:r>
      <w:r w:rsidRPr="001C2BE9">
        <w:tab/>
        <w:t>naliehavo vyzýva väčšinovú stranu Gruzínsky sen, aby stiahla svoj návrh ústavného právneho predpisu obmedzujúceho práva LGBTIQ osôb, ktorý predstavuje útok nielen na komunitu LGBTIQ, ale aj na slobodu prejavu a slobodnú občiansku spoločnosť;</w:t>
      </w:r>
    </w:p>
    <w:p w:rsidR="00105326" w:rsidRPr="001C2BE9" w:rsidRDefault="00105326">
      <w:pPr>
        <w:pStyle w:val="NormalHanging12a"/>
      </w:pPr>
      <w:r w:rsidRPr="001C2BE9">
        <w:lastRenderedPageBreak/>
        <w:t>19.</w:t>
      </w:r>
      <w:r w:rsidRPr="001C2BE9">
        <w:tab/>
        <w:t xml:space="preserve">opakuje svoju výzvu gruzínskym orgánom, aby z humanitárnych dôvodov prepustili bývalého prezidenta </w:t>
      </w:r>
      <w:proofErr w:type="spellStart"/>
      <w:r w:rsidRPr="001C2BE9">
        <w:t>Michaila</w:t>
      </w:r>
      <w:proofErr w:type="spellEnd"/>
      <w:r w:rsidRPr="001C2BE9">
        <w:t xml:space="preserve"> </w:t>
      </w:r>
      <w:proofErr w:type="spellStart"/>
      <w:r w:rsidRPr="001C2BE9">
        <w:t>Saakašviliho</w:t>
      </w:r>
      <w:proofErr w:type="spellEnd"/>
      <w:r w:rsidRPr="001C2BE9">
        <w:t xml:space="preserve"> a umožnili mu riadne lekárske ošetrenie v zahraničí; zdôrazňuje, že jeho prípad ďalej zdôrazňuje význam skutočnej reformy justičného systému;</w:t>
      </w:r>
    </w:p>
    <w:p w:rsidR="00D44FFE" w:rsidRPr="001C2BE9" w:rsidRDefault="00105326">
      <w:pPr>
        <w:pStyle w:val="NormalHanging12a"/>
        <w:rPr>
          <w:i/>
        </w:rPr>
      </w:pPr>
      <w:r w:rsidRPr="001C2BE9">
        <w:t>20.</w:t>
      </w:r>
      <w:r w:rsidR="00A011BE" w:rsidRPr="001C2BE9">
        <w:tab/>
        <w:t>požaduje vyslanie nestrannej a nezávislej dlhodobej medzinárodnej volebnej pozorovateľskej misie Úradu pre demokratické inštitúcie a ľudské práva Organizácie pre bezpečnosť a spoluprácu v Európe s cieľom monitorovať nadchádzajúce parlamentné voľby v krajine v októbri 2024;</w:t>
      </w:r>
    </w:p>
    <w:p w:rsidR="00D44FFE" w:rsidRPr="001C2BE9" w:rsidRDefault="00105326">
      <w:pPr>
        <w:pStyle w:val="NormalHanging12a"/>
      </w:pPr>
      <w:r w:rsidRPr="001C2BE9">
        <w:t>21</w:t>
      </w:r>
      <w:r w:rsidR="00A011BE" w:rsidRPr="001C2BE9">
        <w:t>.</w:t>
      </w:r>
      <w:r w:rsidR="00A011BE" w:rsidRPr="001C2BE9">
        <w:tab/>
        <w:t>poveruje svoju predsedníčku, aby postúpila toto uznesenie podpredsedovi Komisie/vysokému predstaviteľovi Únie pre zahraničné veci a bezpečnostnú politiku, Rade, Komisii, vládam a parlamentom členských štátov, Rade Európy, Organizácii pre bezpečnosť a spoluprácu v Európe a prezidentke, vláde a parlamentu Gruzínska.</w:t>
      </w:r>
    </w:p>
    <w:p w:rsidR="00D44FFE" w:rsidRPr="001C2BE9" w:rsidRDefault="00D44FFE"/>
    <w:p w:rsidR="00D44FFE" w:rsidRPr="001C2BE9" w:rsidRDefault="00D44FFE">
      <w:bookmarkStart w:id="8" w:name="TextBodyEnd"/>
      <w:bookmarkEnd w:id="8"/>
    </w:p>
    <w:sectPr w:rsidR="00D44FFE" w:rsidRPr="001C2B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FFE" w:rsidRDefault="00A011BE">
      <w:r>
        <w:separator/>
      </w:r>
    </w:p>
  </w:endnote>
  <w:endnote w:type="continuationSeparator" w:id="0">
    <w:p w:rsidR="00D44FFE" w:rsidRDefault="00A01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FFE" w:rsidRDefault="00A011BE">
      <w:r>
        <w:separator/>
      </w:r>
    </w:p>
  </w:footnote>
  <w:footnote w:type="continuationSeparator" w:id="0">
    <w:p w:rsidR="00D44FFE" w:rsidRDefault="00A011BE">
      <w:r>
        <w:continuationSeparator/>
      </w:r>
    </w:p>
  </w:footnote>
  <w:footnote w:id="1">
    <w:p w:rsidR="00D44FFE" w:rsidRDefault="00A011BE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261, 30.8.2014, s. 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FFE" w:rsidRDefault="00D44FF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44, 0246, 0247, 0248 a 0251/2024"/>
    <w:docVar w:name="dvlangue" w:val="SK"/>
    <w:docVar w:name="dvnumam" w:val="0"/>
    <w:docVar w:name="dvpe" w:val="762.555"/>
    <w:docVar w:name="dvtitre" w:val="Uznesenie Európskeho parlamentu z 25. apríla 2024 o pokusoch o opätovné zavedenie zákona o zahraničných agentoch v Gruzínsku a obmedzeniach vyplývajúcich z tohto zákona pre občiansku spoločnosť(2024/2703(RSP))"/>
  </w:docVars>
  <w:rsids>
    <w:rsidRoot w:val="00D44FFE"/>
    <w:rsid w:val="000315F0"/>
    <w:rsid w:val="00105326"/>
    <w:rsid w:val="001C2BE9"/>
    <w:rsid w:val="002F72A4"/>
    <w:rsid w:val="00766E89"/>
    <w:rsid w:val="00A011BE"/>
    <w:rsid w:val="00D44FFE"/>
    <w:rsid w:val="00E8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A313B-8070-4077-AD14-536ECBAB1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BB664-12AA-41BE-9DE2-2CC9360A3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1717</Words>
  <Characters>10648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2024-04-25T13:26:00Z</dcterms:created>
  <dcterms:modified xsi:type="dcterms:W3CDTF">2024-04-25T13:26:00Z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B9-0244, 0246, 0247, 0248 a 0251/2024</vt:lpwstr>
  </property>
  <property fmtid="{D5CDD505-2E9C-101B-9397-08002B2CF9AE}" pid="4" name="&lt;Type&gt;">
    <vt:lpwstr>RR</vt:lpwstr>
  </property>
</Properties>
</file>