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2EFE" w14:paraId="3FC95D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B6C908" w14:textId="77777777" w:rsidR="00751A4A" w:rsidRPr="00AD2EFE" w:rsidRDefault="00220D9F" w:rsidP="0010095E">
            <w:pPr>
              <w:pStyle w:val="EPName"/>
            </w:pPr>
            <w:bookmarkStart w:id="0" w:name="_GoBack"/>
            <w:bookmarkEnd w:id="0"/>
            <w:r w:rsidRPr="00AD2EFE">
              <w:t>Parlamento Europeu</w:t>
            </w:r>
          </w:p>
          <w:p w14:paraId="3A4B2903" w14:textId="77777777" w:rsidR="00751A4A" w:rsidRPr="00AD2E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2EF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07125F0" w14:textId="77777777" w:rsidR="00751A4A" w:rsidRPr="00AD2EFE" w:rsidRDefault="00187494" w:rsidP="0010095E">
            <w:pPr>
              <w:pStyle w:val="EPLogo"/>
            </w:pPr>
            <w:r w:rsidRPr="00AD2EFE">
              <w:rPr>
                <w:noProof/>
                <w:lang w:val="en-GB"/>
              </w:rPr>
              <w:drawing>
                <wp:inline distT="0" distB="0" distL="0" distR="0" wp14:anchorId="74DC2C50" wp14:editId="3D9CF9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214863" w14:textId="77777777" w:rsidR="00D058B8" w:rsidRPr="00AD2EFE" w:rsidRDefault="00D058B8" w:rsidP="004C5D52">
      <w:pPr>
        <w:pStyle w:val="LineTop"/>
      </w:pPr>
    </w:p>
    <w:p w14:paraId="36E2C48C" w14:textId="77777777" w:rsidR="00680577" w:rsidRPr="00AD2EFE" w:rsidRDefault="00220D9F" w:rsidP="00680577">
      <w:pPr>
        <w:pStyle w:val="EPBodyTA1"/>
      </w:pPr>
      <w:r w:rsidRPr="00AD2EFE">
        <w:t>TEXTOS APROVADOS</w:t>
      </w:r>
    </w:p>
    <w:p w14:paraId="349B0CBF" w14:textId="77777777" w:rsidR="00D058B8" w:rsidRPr="00AD2EFE" w:rsidRDefault="00D058B8" w:rsidP="00D058B8">
      <w:pPr>
        <w:pStyle w:val="LineBottom"/>
      </w:pPr>
    </w:p>
    <w:p w14:paraId="3B44C5B7" w14:textId="77777777" w:rsidR="00220D9F" w:rsidRPr="00AD2EFE" w:rsidRDefault="00220D9F" w:rsidP="00220D9F">
      <w:pPr>
        <w:pStyle w:val="ATHeading1"/>
      </w:pPr>
      <w:bookmarkStart w:id="1" w:name="TANumber"/>
      <w:r w:rsidRPr="00AD2EFE">
        <w:t>P9_TA(2024)0</w:t>
      </w:r>
      <w:r w:rsidR="00AD50CE" w:rsidRPr="00AD2EFE">
        <w:t>382</w:t>
      </w:r>
      <w:bookmarkEnd w:id="1"/>
    </w:p>
    <w:p w14:paraId="5861DE83" w14:textId="77777777" w:rsidR="00220D9F" w:rsidRPr="00AD2EFE" w:rsidRDefault="00220D9F" w:rsidP="00220D9F">
      <w:pPr>
        <w:pStyle w:val="ATHeading2"/>
      </w:pPr>
      <w:bookmarkStart w:id="2" w:name="title"/>
      <w:r w:rsidRPr="00AD2EFE">
        <w:t>O ataque sem precedentes do Irão a Israel, a necessidade de desescalada e de uma resposta da UE</w:t>
      </w:r>
      <w:bookmarkEnd w:id="2"/>
    </w:p>
    <w:p w14:paraId="3DA22A0C" w14:textId="77777777" w:rsidR="00220D9F" w:rsidRPr="00AD2EFE" w:rsidRDefault="00220D9F" w:rsidP="00220D9F">
      <w:pPr>
        <w:rPr>
          <w:i/>
          <w:vanish/>
        </w:rPr>
      </w:pPr>
      <w:r w:rsidRPr="00AD2EFE">
        <w:rPr>
          <w:i/>
        </w:rPr>
        <w:fldChar w:fldCharType="begin"/>
      </w:r>
      <w:r w:rsidRPr="00AD2EFE">
        <w:rPr>
          <w:i/>
        </w:rPr>
        <w:instrText xml:space="preserve"> TC"(</w:instrText>
      </w:r>
      <w:bookmarkStart w:id="3" w:name="DocNumber"/>
      <w:r w:rsidRPr="00AD2EFE">
        <w:rPr>
          <w:i/>
        </w:rPr>
        <w:instrText>B9-0235, 0237, 0249, 0250 e 0252/2024</w:instrText>
      </w:r>
      <w:bookmarkEnd w:id="3"/>
      <w:r w:rsidRPr="00AD2EFE">
        <w:rPr>
          <w:i/>
        </w:rPr>
        <w:instrText xml:space="preserve">)"\l3 \n&gt; \* MERGEFORMAT </w:instrText>
      </w:r>
      <w:r w:rsidRPr="00AD2EFE">
        <w:rPr>
          <w:i/>
        </w:rPr>
        <w:fldChar w:fldCharType="end"/>
      </w:r>
    </w:p>
    <w:p w14:paraId="1133DBC3" w14:textId="77777777" w:rsidR="00220D9F" w:rsidRPr="00AD2EFE" w:rsidRDefault="00220D9F" w:rsidP="00220D9F">
      <w:pPr>
        <w:rPr>
          <w:vanish/>
        </w:rPr>
      </w:pPr>
      <w:bookmarkStart w:id="4" w:name="PE"/>
      <w:r w:rsidRPr="00AD2EFE">
        <w:rPr>
          <w:vanish/>
        </w:rPr>
        <w:t>PE762.546</w:t>
      </w:r>
      <w:bookmarkEnd w:id="4"/>
    </w:p>
    <w:p w14:paraId="0D8293AC" w14:textId="77777777" w:rsidR="00220D9F" w:rsidRPr="00AD2EFE" w:rsidRDefault="00220D9F" w:rsidP="00220D9F">
      <w:pPr>
        <w:pStyle w:val="ATHeading3"/>
      </w:pPr>
      <w:bookmarkStart w:id="5" w:name="Sujet"/>
      <w:r w:rsidRPr="00AD2EFE">
        <w:t xml:space="preserve">Resolução do Parlamento Europeu, de </w:t>
      </w:r>
      <w:r w:rsidR="002E66CA" w:rsidRPr="00AD2EFE">
        <w:t>25</w:t>
      </w:r>
      <w:r w:rsidRPr="00AD2EFE">
        <w:t xml:space="preserve"> de </w:t>
      </w:r>
      <w:r w:rsidR="002E66CA" w:rsidRPr="00AD2EFE">
        <w:t>abril</w:t>
      </w:r>
      <w:r w:rsidRPr="00AD2EFE">
        <w:t xml:space="preserve"> de 2024, sobre o ataque sem precedentes do Irão a Israel, a necessidade de desescalada e de uma resposta da UE</w:t>
      </w:r>
      <w:bookmarkEnd w:id="5"/>
      <w:r w:rsidRPr="00AD2EFE">
        <w:t xml:space="preserve"> </w:t>
      </w:r>
      <w:bookmarkStart w:id="6" w:name="References"/>
      <w:r w:rsidRPr="00AD2EFE">
        <w:t>(2024/2704(RSP))</w:t>
      </w:r>
      <w:bookmarkEnd w:id="6"/>
    </w:p>
    <w:p w14:paraId="6567DA11" w14:textId="77777777" w:rsidR="00521136" w:rsidRPr="00AD2EFE" w:rsidRDefault="00521136" w:rsidP="00521136">
      <w:pPr>
        <w:pStyle w:val="EPComma"/>
      </w:pPr>
      <w:bookmarkStart w:id="7" w:name="TextBodyBegin"/>
      <w:bookmarkEnd w:id="7"/>
      <w:r w:rsidRPr="00AD2EFE">
        <w:rPr>
          <w:i/>
        </w:rPr>
        <w:t>O Parlamento Europeu</w:t>
      </w:r>
      <w:r w:rsidRPr="00AD2EFE">
        <w:t>,</w:t>
      </w:r>
    </w:p>
    <w:p w14:paraId="5C259AF0" w14:textId="77777777" w:rsidR="00521136" w:rsidRPr="00AD2EFE" w:rsidRDefault="00521136" w:rsidP="00521136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D2EFE">
        <w:t>–</w:t>
      </w:r>
      <w:r w:rsidRPr="00AD2EFE">
        <w:tab/>
        <w:t xml:space="preserve">Tendo em conta a 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declaração do Secretário-Geral das Nações Unidas, de 13 de abril de 2024, sobre os ataques da República Islâmica do Irão a Israel,</w:t>
      </w:r>
    </w:p>
    <w:p w14:paraId="29B5BE15" w14:textId="77777777" w:rsidR="00521136" w:rsidRPr="00AD2EFE" w:rsidRDefault="00521136" w:rsidP="00521136">
      <w:pPr>
        <w:pStyle w:val="NormalHanging12a"/>
        <w:rPr>
          <w:rStyle w:val="None"/>
          <w:i/>
          <w:iCs/>
          <w:color w:val="000000"/>
          <w:szCs w:val="24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Tendo em conta a declaração dos dirigentes do G7, de 14 de abril de 2024, sobre o ataque do Irão a Israel,</w:t>
      </w:r>
    </w:p>
    <w:p w14:paraId="3C49FDC0" w14:textId="77777777" w:rsidR="00521136" w:rsidRPr="00AD2EFE" w:rsidRDefault="00521136" w:rsidP="00521136">
      <w:pPr>
        <w:pStyle w:val="NormalHanging12a"/>
        <w:rPr>
          <w:rStyle w:val="None"/>
          <w:i/>
          <w:color w:val="000000"/>
          <w:szCs w:val="24"/>
        </w:rPr>
      </w:pP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Tendo em conta a declaração do Alto Representante da União para os Negócios Estrangeiros e a Política de Segurança, em nome da UE, de 14 de abril de 2024, sobre o Irão,</w:t>
      </w:r>
    </w:p>
    <w:p w14:paraId="7D988B95" w14:textId="77777777" w:rsidR="00521136" w:rsidRPr="00AD2EFE" w:rsidRDefault="00521136" w:rsidP="00521136">
      <w:pPr>
        <w:pStyle w:val="NormalHanging12a"/>
        <w:rPr>
          <w:rStyle w:val="None"/>
          <w:i/>
          <w:color w:val="000000"/>
          <w:szCs w:val="24"/>
        </w:rPr>
      </w:pP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D2EFE">
        <w:tab/>
        <w:t>Tendo em conta a declaração, de 3 de abril de 2024, do porta-voz do Serviço Europeu para a Ação Externa (SEAE) sobre o atentando em Damasco,</w:t>
      </w:r>
    </w:p>
    <w:p w14:paraId="602FD55A" w14:textId="77777777" w:rsidR="00521136" w:rsidRPr="00AD2EFE" w:rsidRDefault="00521136" w:rsidP="00521136">
      <w:pPr>
        <w:pStyle w:val="NormalHanging12a"/>
        <w:rPr>
          <w:rStyle w:val="None"/>
          <w:i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D2EFE">
        <w:t>–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Tendo em conta a Decisão (PESC) 2023/1532 do Conselho, de 20 de julho de 2023, que impõe medidas restritivas tendo em conta o apoio militar do Irão à guerra de agressão da Rússia contra a Ucrânia</w:t>
      </w:r>
      <w:r w:rsidRPr="00AD2EFE">
        <w:rPr>
          <w:rStyle w:val="FootnoteReference"/>
          <w:color w:val="000000"/>
          <w:u w:color="FE0000"/>
        </w:rPr>
        <w:footnoteReference w:id="1"/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14:paraId="2618D236" w14:textId="77777777" w:rsidR="00521136" w:rsidRPr="00AD2EFE" w:rsidRDefault="00521136" w:rsidP="00521136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D2EFE">
        <w:tab/>
        <w:t>Tendo em conta a lista UE de terroristas e a Posição Comum 2001/931/PESC do Conselho que estabelece os critérios para a inclusão na lista de pessoas, grupos e entidades</w:t>
      </w:r>
      <w:r w:rsidRPr="00AD2EFE">
        <w:rPr>
          <w:rStyle w:val="FootnoteReference"/>
        </w:rPr>
        <w:footnoteReference w:id="2"/>
      </w:r>
      <w:r w:rsidRPr="00AD2EFE">
        <w:t>,</w:t>
      </w:r>
    </w:p>
    <w:p w14:paraId="21452667" w14:textId="77777777" w:rsidR="00521136" w:rsidRPr="00AD2EFE" w:rsidRDefault="00521136" w:rsidP="00521136">
      <w:pPr>
        <w:pStyle w:val="NormalHanging12a"/>
        <w:rPr>
          <w:rStyle w:val="None"/>
          <w:i/>
          <w:color w:val="000000"/>
          <w:szCs w:val="24"/>
        </w:rPr>
      </w:pPr>
      <w:r w:rsidRPr="00AD2EFE">
        <w:t>–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Tendo em conta as Conclusões do Conselho Europeu de 17 de abril de 2024,</w:t>
      </w:r>
    </w:p>
    <w:p w14:paraId="74DF0D83" w14:textId="77777777" w:rsidR="00521136" w:rsidRPr="00AD2EFE" w:rsidRDefault="00521136" w:rsidP="00521136">
      <w:pPr>
        <w:pStyle w:val="NormalHanging12a"/>
        <w:rPr>
          <w:i/>
          <w:iCs/>
        </w:rPr>
      </w:pP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D2EFE">
        <w:tab/>
        <w:t>Tendo em conta as resoluções pertinentes do Conselho de Segurança das Nações Unidas e da Assembleia Geral das Nações Unidas,</w:t>
      </w:r>
    </w:p>
    <w:p w14:paraId="2C166176" w14:textId="77777777" w:rsidR="00521136" w:rsidRPr="00AD2EFE" w:rsidRDefault="00521136" w:rsidP="00521136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D2EFE">
        <w:lastRenderedPageBreak/>
        <w:t>–</w:t>
      </w:r>
      <w:r w:rsidRPr="00AD2EFE">
        <w:tab/>
        <w:t>Tendo em conta o direito internacional humanitário, designadamente as Convenções da Haia de 1899 e 1907 e as Convenções de Genebra de 1949 e respetivos Protocolos Adicionais,</w:t>
      </w:r>
    </w:p>
    <w:p w14:paraId="71A5C3E8" w14:textId="77777777" w:rsidR="00521136" w:rsidRPr="00AD2EFE" w:rsidRDefault="00521136" w:rsidP="00521136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D2EFE">
        <w:t>–</w:t>
      </w:r>
      <w:r w:rsidRPr="00AD2EFE">
        <w:tab/>
        <w:t>Tendo em conta a Convenção de Viena sobre Relações Diplomáticas de 1961,</w:t>
      </w:r>
    </w:p>
    <w:p w14:paraId="7F598587" w14:textId="77777777" w:rsidR="00521136" w:rsidRPr="00AD2EFE" w:rsidRDefault="00521136" w:rsidP="00521136">
      <w:pPr>
        <w:pStyle w:val="NormalHanging12a"/>
        <w:rPr>
          <w:rStyle w:val="None"/>
          <w:color w:val="000000"/>
          <w:szCs w:val="24"/>
        </w:rPr>
      </w:pPr>
      <w:r w:rsidRPr="00AD2EFE">
        <w:t>–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Tendo em conta a declaração da UE ao Conselho dos Governadores da Agência Internacional da Energia Atómica (AIEA), de 12 de setembro de 2023, sobre a verificação e o acompanhamento no Irão à luz da Resolução 2231 (2015) do Conselho de Segurança das Nações Unidas,</w:t>
      </w:r>
    </w:p>
    <w:p w14:paraId="28647BC3" w14:textId="77777777" w:rsidR="00521136" w:rsidRPr="00AD2EFE" w:rsidRDefault="00521136" w:rsidP="00521136">
      <w:pPr>
        <w:pStyle w:val="NormalHanging12a"/>
      </w:pP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D2EFE">
        <w:rPr>
          <w:rStyle w:val="None"/>
          <w:color w:val="000000"/>
          <w:u w:color="FE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D2EFE">
        <w:t>Tendo em conta o Tratado de Não Proliferação das Armas Nucleares de 1970,</w:t>
      </w:r>
    </w:p>
    <w:p w14:paraId="31ECBB16" w14:textId="77777777" w:rsidR="00521136" w:rsidRPr="00AD2EFE" w:rsidRDefault="00521136" w:rsidP="00521136">
      <w:pPr>
        <w:pStyle w:val="NormalHanging12a"/>
      </w:pPr>
      <w:r w:rsidRPr="00AD2EFE">
        <w:t>–</w:t>
      </w:r>
      <w:r w:rsidRPr="00AD2EFE">
        <w:tab/>
        <w:t>Tendo em conta o artigo 132.º, n.</w:t>
      </w:r>
      <w:r w:rsidRPr="00AD2EFE">
        <w:rPr>
          <w:vertAlign w:val="superscript"/>
        </w:rPr>
        <w:t>os</w:t>
      </w:r>
      <w:r w:rsidRPr="00AD2EFE">
        <w:t xml:space="preserve"> 2 e 4, do seu Regimento,</w:t>
      </w:r>
    </w:p>
    <w:p w14:paraId="61D20D43" w14:textId="77777777" w:rsidR="00521136" w:rsidRPr="00AD2EFE" w:rsidRDefault="00521136" w:rsidP="00521136">
      <w:pPr>
        <w:pStyle w:val="NormalHanging12a"/>
        <w:rPr>
          <w:shd w:val="clear" w:color="auto" w:fill="FFFFFF"/>
        </w:rPr>
      </w:pPr>
      <w:r w:rsidRPr="00AD2EFE">
        <w:t>A.</w:t>
      </w:r>
      <w:r w:rsidRPr="00AD2EFE">
        <w:tab/>
        <w:t>Considerando que, em 13 de abril de 2024, o Irão atacou pela primeira vez o território israelita, disparando mais de 300 drones e mísseis</w:t>
      </w:r>
      <w:r w:rsidR="002E66CA" w:rsidRPr="00AD2EFE">
        <w:t>; considerando que</w:t>
      </w:r>
      <w:r w:rsidRPr="00AD2EFE">
        <w:t xml:space="preserve"> a maioria foi intercetada por Israel, pelos EUA, pelo Reino Unido e pela França, que também forneceram capacidades de reconhecimento e defesa aéreos a partir da Jordânia</w:t>
      </w:r>
      <w:r w:rsidR="002E66CA" w:rsidRPr="00AD2EFE">
        <w:t>; considerando que</w:t>
      </w:r>
      <w:r w:rsidRPr="00AD2EFE">
        <w:t>, ainda assim, cinco mísseis caíram em território israelita, atingindo a base da força aérea israelita de Nevatim e ferindo gravemente uma menina de sete anos da comunidade árabe beduína de Israel</w:t>
      </w:r>
      <w:r w:rsidR="002E66CA" w:rsidRPr="00AD2EFE">
        <w:t>; considerando que</w:t>
      </w:r>
      <w:r w:rsidRPr="00AD2EFE">
        <w:t xml:space="preserve"> os 170 drones e 30 mísseis de cruzeiro foram todos intercetados antes de entrarem em território israelita, enquanto 105 dos 110 mísseis balísticos foram intercetados pelos sistemas de defesa antimíssil de Israel</w:t>
      </w:r>
      <w:r w:rsidR="002E66CA" w:rsidRPr="00AD2EFE">
        <w:t>; considerando que</w:t>
      </w:r>
      <w:r w:rsidRPr="00AD2EFE">
        <w:rPr>
          <w:shd w:val="clear" w:color="auto" w:fill="FFFFFF"/>
        </w:rPr>
        <w:t>, antes e durante o ataque, o Hezbolá também lançou foguetes contra os Montes Golã e os hutis atacaram território israelita;</w:t>
      </w:r>
    </w:p>
    <w:p w14:paraId="5253AE1D" w14:textId="77777777" w:rsidR="00521136" w:rsidRPr="00AD2EFE" w:rsidRDefault="00521136" w:rsidP="00521136">
      <w:pPr>
        <w:pStyle w:val="NormalHanging12a"/>
      </w:pPr>
      <w:r w:rsidRPr="00AD2EFE">
        <w:t>B.</w:t>
      </w:r>
      <w:r w:rsidRPr="00AD2EFE">
        <w:tab/>
        <w:t>Considerando que, em 1 de abril de 2024, o consulado do Irão em Damasco, na Síria, foi bombardeado num ataque aéreo amplamente atribuído a Israel, que matou sete oficiais, incluindo dois generais iranianos de alta patente do Corpo de Guardas da Revolução Islâmica (IRGC), e feriu outras 13 pessoas</w:t>
      </w:r>
      <w:r w:rsidR="002E66CA" w:rsidRPr="00AD2EFE">
        <w:t>; considerando que</w:t>
      </w:r>
      <w:r w:rsidRPr="00AD2EFE">
        <w:t xml:space="preserve"> o consulado do Irão em Damasco terá sido utilizado para organizar 150 ataques contra alvos americanos e israelitas na região</w:t>
      </w:r>
      <w:r w:rsidR="002E66CA" w:rsidRPr="00AD2EFE">
        <w:t>; considerando que</w:t>
      </w:r>
      <w:r w:rsidRPr="00AD2EFE">
        <w:t>, após o bombardeamento, o Irão apelou ao «castigo e vingança»</w:t>
      </w:r>
      <w:r w:rsidR="002E66CA" w:rsidRPr="00AD2EFE">
        <w:t>; considerando que</w:t>
      </w:r>
      <w:r w:rsidRPr="00AD2EFE">
        <w:t xml:space="preserve"> as Convenções de Viena sobre Relações Diplomáticas e Consulares concedem proteção às instalações diplomáticas</w:t>
      </w:r>
      <w:r w:rsidR="002E66CA" w:rsidRPr="00AD2EFE">
        <w:t>; considerando que</w:t>
      </w:r>
      <w:r w:rsidRPr="00AD2EFE">
        <w:t xml:space="preserve"> todos os membros do Conselho de Segurança das Nações Unidas manifestaram preocupação e apelaram ao desanuviamento da tensão</w:t>
      </w:r>
      <w:r w:rsidR="002E66CA" w:rsidRPr="00AD2EFE">
        <w:t>; considerando que</w:t>
      </w:r>
      <w:r w:rsidRPr="00AD2EFE">
        <w:t xml:space="preserve"> funcionários dos EUA confirmaram que, durante a noite de 19 de abril de 2024, Israel realizou algumas operações militares de retaliação, lançando ataques com drones na província central de Isfahan;</w:t>
      </w:r>
    </w:p>
    <w:p w14:paraId="6F4B6227" w14:textId="77777777" w:rsidR="00521136" w:rsidRPr="00AD2EFE" w:rsidRDefault="00521136" w:rsidP="00521136">
      <w:pPr>
        <w:pStyle w:val="NormalHanging12a"/>
      </w:pPr>
      <w:r w:rsidRPr="00AD2EFE">
        <w:t>C.</w:t>
      </w:r>
      <w:r w:rsidRPr="00AD2EFE">
        <w:tab/>
        <w:t>Considerando que a UE, o Reino Unido, os EUA e outros países condenaram unanimemente os ataques e apelaram a ambas as partes para que abrandem a escalada do conflito;</w:t>
      </w:r>
    </w:p>
    <w:p w14:paraId="3A016748" w14:textId="77777777" w:rsidR="00521136" w:rsidRPr="00AD2EFE" w:rsidRDefault="00521136" w:rsidP="00521136">
      <w:pPr>
        <w:pStyle w:val="NormalHanging12a"/>
      </w:pPr>
      <w:r w:rsidRPr="00AD2EFE">
        <w:t>D.</w:t>
      </w:r>
      <w:r w:rsidRPr="00AD2EFE">
        <w:tab/>
        <w:t>Considerando que os hediondos ataques terroristas do Hamas em Israel, em 7 de outubro de 2023, durante os quais os seus operacionais assassinaram brutalmente sobretudo civis e raptaram 253 pessoas, que foram levadas como reféns para a Faixa de Gaza, tendo 112 delas sido entretanto libertadas, tiveram efeitos profundos e prejudiciais na estabilidade de todo o Médio Oriente</w:t>
      </w:r>
      <w:r w:rsidR="002E66CA" w:rsidRPr="00AD2EFE">
        <w:t>; considerando que</w:t>
      </w:r>
      <w:r w:rsidRPr="00AD2EFE">
        <w:t xml:space="preserve"> a subsequente guerra de Israel contra os terroristas do Hamas na Faixa de Gaza desencadeou uma </w:t>
      </w:r>
      <w:r w:rsidRPr="00AD2EFE">
        <w:lastRenderedPageBreak/>
        <w:t>resposta militar desproporcionada que matou dezenas de milhares de civis, incluindo muitos trabalhadores humanitários e jornalistas, e causou uma situação humanitária catastrófica, incluindo níveis de fome sem precedentes, devido à falta de acesso seguro e sem entraves da população à ajuda humanitária</w:t>
      </w:r>
      <w:r w:rsidR="002E66CA" w:rsidRPr="00AD2EFE">
        <w:t>; considerando que</w:t>
      </w:r>
      <w:r w:rsidRPr="00AD2EFE">
        <w:t xml:space="preserve"> os acontecimentos registados desde 7 de outubro</w:t>
      </w:r>
      <w:r w:rsidR="00D701B9" w:rsidRPr="00AD2EFE">
        <w:t xml:space="preserve"> de 2023</w:t>
      </w:r>
      <w:r w:rsidRPr="00AD2EFE">
        <w:t xml:space="preserve"> tiveram efeitos profundos e prejudiciais na estabilidade de todo o Médio Oriente;</w:t>
      </w:r>
    </w:p>
    <w:p w14:paraId="62E40B66" w14:textId="77777777" w:rsidR="00521136" w:rsidRPr="00AD2EFE" w:rsidRDefault="00521136" w:rsidP="00521136">
      <w:pPr>
        <w:pStyle w:val="NormalHanging12a"/>
      </w:pPr>
      <w:r w:rsidRPr="00AD2EFE">
        <w:t>E.</w:t>
      </w:r>
      <w:r w:rsidRPr="00AD2EFE">
        <w:tab/>
        <w:t>Considerando que, nos territórios palestinianos ocupados, o Irão tem apoiado financeira e logisticamente a organização terrorista Hamas;</w:t>
      </w:r>
    </w:p>
    <w:p w14:paraId="61962484" w14:textId="77777777" w:rsidR="00521136" w:rsidRPr="00AD2EFE" w:rsidRDefault="00521136" w:rsidP="00521136">
      <w:pPr>
        <w:pStyle w:val="NormalHanging12a"/>
      </w:pPr>
      <w:r w:rsidRPr="00AD2EFE">
        <w:t>F.</w:t>
      </w:r>
      <w:r w:rsidRPr="00AD2EFE">
        <w:tab/>
        <w:t>Considerando que centenas de foguetes e ataques aéreos lançados pelo Hezbolá e seus aliados e por Israel atingiram o sul do Líbano e o norte de Israel desde 7 de outubro de 2023, provocando a deslocação de 60 000 israelitas e 30 000 libaneses</w:t>
      </w:r>
      <w:r w:rsidR="002E66CA" w:rsidRPr="00AD2EFE">
        <w:t>; considerando que</w:t>
      </w:r>
      <w:r w:rsidRPr="00AD2EFE">
        <w:t xml:space="preserve"> os ataques aéreos de Israel no Líbano tiveram como alvo membros do Hezbolá e do Hamas;</w:t>
      </w:r>
    </w:p>
    <w:p w14:paraId="5803BB56" w14:textId="77777777" w:rsidR="00521136" w:rsidRPr="00AD2EFE" w:rsidRDefault="00521136" w:rsidP="00521136">
      <w:pPr>
        <w:pStyle w:val="NormalHanging12a"/>
      </w:pPr>
      <w:r w:rsidRPr="00AD2EFE">
        <w:t>G.</w:t>
      </w:r>
      <w:r w:rsidRPr="00AD2EFE">
        <w:tab/>
        <w:t>Considerando que o Irão levou milícias do Líbano, do Iraque, do Irão e do Afeganistão para a Síria, a fim de reprimir a dissidência e controlar o território do regime sírio</w:t>
      </w:r>
      <w:r w:rsidR="002E66CA" w:rsidRPr="00AD2EFE">
        <w:t>; considerando que</w:t>
      </w:r>
      <w:r w:rsidRPr="00AD2EFE">
        <w:t>, desde 7 de outubro de 2023, as milícias apoiadas pelo Irão na Síria intensificaram o lançamento de drones e foguetes contra Israel;</w:t>
      </w:r>
    </w:p>
    <w:p w14:paraId="2236B4DA" w14:textId="77777777" w:rsidR="00521136" w:rsidRPr="00AD2EFE" w:rsidRDefault="00521136" w:rsidP="00521136">
      <w:pPr>
        <w:pStyle w:val="NormalHanging12a"/>
      </w:pPr>
      <w:r w:rsidRPr="00AD2EFE">
        <w:t>H.</w:t>
      </w:r>
      <w:r w:rsidRPr="00AD2EFE">
        <w:tab/>
        <w:t>Considerando que o aliado do Irão na Síria – o regime de Bashar al-Assad – sitiou, bombardeou e lançou à fome o campo de Yarmouk, o maior campo de refugiados palestinianos na Síria, entre 2011 e 2015, matando centenas de civis e deslocando mais de 200 000 refugiados palestinianos;</w:t>
      </w:r>
    </w:p>
    <w:p w14:paraId="27C4C42C" w14:textId="77777777" w:rsidR="00521136" w:rsidRPr="00AD2EFE" w:rsidRDefault="00521136" w:rsidP="00521136">
      <w:pPr>
        <w:pStyle w:val="NormalHanging12a"/>
      </w:pPr>
      <w:r w:rsidRPr="00AD2EFE">
        <w:t>I.</w:t>
      </w:r>
      <w:r w:rsidRPr="00AD2EFE">
        <w:tab/>
        <w:t>Considerando que, no Iraque, as milícias apoiadas pelo Irão exerceram uma influência política e militar nefasta, atuando fora do controlo das autoridades de defesa nacional</w:t>
      </w:r>
      <w:r w:rsidR="002E66CA" w:rsidRPr="00AD2EFE">
        <w:t>; considerando que</w:t>
      </w:r>
      <w:r w:rsidRPr="00AD2EFE">
        <w:t xml:space="preserve"> essas milícias visaram especificamente bases militares dos EUA, bem como a região iraquiana do Curdistão</w:t>
      </w:r>
      <w:r w:rsidR="002E66CA" w:rsidRPr="00AD2EFE">
        <w:t>; considerando que</w:t>
      </w:r>
      <w:r w:rsidRPr="00AD2EFE">
        <w:t xml:space="preserve"> uma milícia pró-iraniana no Iraque reivindicou a responsabilidade pelos ataques de 1 de abril de 2024 contra uma base naval israelita em Eilat;</w:t>
      </w:r>
    </w:p>
    <w:p w14:paraId="42A68F92" w14:textId="77777777" w:rsidR="00521136" w:rsidRPr="00AD2EFE" w:rsidRDefault="00521136" w:rsidP="00521136">
      <w:pPr>
        <w:pStyle w:val="NormalHanging12a"/>
      </w:pPr>
      <w:r w:rsidRPr="00AD2EFE">
        <w:t>J.</w:t>
      </w:r>
      <w:r w:rsidRPr="00AD2EFE">
        <w:tab/>
        <w:t>Considerando que, no Iémen, o Irão presta um apoio substancial e está estreitamente ligado ao movimento huti</w:t>
      </w:r>
      <w:r w:rsidR="002E66CA" w:rsidRPr="00AD2EFE">
        <w:t>; considerando que</w:t>
      </w:r>
      <w:r w:rsidRPr="00AD2EFE">
        <w:t xml:space="preserve"> os ataques dos hutis têm visado a navegação comercial internacional no estreito de Bab el-Mandeb desde outubro de 2023, perturbando fortemente o tráfego marítimo no mar Vermelho e ameaçando a estabilidade económica mundial</w:t>
      </w:r>
      <w:r w:rsidR="002E66CA" w:rsidRPr="00AD2EFE">
        <w:t>; considerando que</w:t>
      </w:r>
      <w:r w:rsidRPr="00AD2EFE">
        <w:t xml:space="preserve"> os hutis têm mantido reféns o navio japonês </w:t>
      </w:r>
      <w:r w:rsidRPr="00AD2EFE">
        <w:rPr>
          <w:i/>
        </w:rPr>
        <w:t>Galaxy Leader</w:t>
      </w:r>
      <w:r w:rsidRPr="00AD2EFE">
        <w:t xml:space="preserve"> e a sua tripulação, incluindo três cidadãos da UE, desde 19 de novembro de 2023</w:t>
      </w:r>
      <w:r w:rsidR="002E66CA" w:rsidRPr="00AD2EFE">
        <w:t>; considerando que</w:t>
      </w:r>
      <w:r w:rsidRPr="00AD2EFE">
        <w:t xml:space="preserve"> os EUA e os seus aliados europeus intercetaram ataques de drones hutis</w:t>
      </w:r>
      <w:r w:rsidR="002E66CA" w:rsidRPr="00AD2EFE">
        <w:t>; considerando que</w:t>
      </w:r>
      <w:r w:rsidRPr="00AD2EFE">
        <w:t xml:space="preserve"> a operação ASPIDES da Força Naval da UE foi criada em fevereiro de 2024 para proteger a passagem marítima internacional</w:t>
      </w:r>
      <w:r w:rsidR="002E66CA" w:rsidRPr="00AD2EFE">
        <w:t>; considerando que</w:t>
      </w:r>
      <w:r w:rsidRPr="00AD2EFE">
        <w:t xml:space="preserve"> o processo de paz liderado pela ONU no Iémen está num impasse desde outubro de 2023</w:t>
      </w:r>
      <w:r w:rsidR="002E66CA" w:rsidRPr="00AD2EFE">
        <w:t>; considerando que</w:t>
      </w:r>
      <w:r w:rsidRPr="00AD2EFE">
        <w:t xml:space="preserve"> anteriores ataques iranianos, como a apreensão do </w:t>
      </w:r>
      <w:r w:rsidRPr="00AD2EFE">
        <w:rPr>
          <w:i/>
        </w:rPr>
        <w:t>MSC Aries</w:t>
      </w:r>
      <w:r w:rsidRPr="00AD2EFE">
        <w:t>, um navio porta-contentores com pavilhão português e tripulação estónia, no estreito de Ormuz, representam um perigo para a segurança marítima internacional;</w:t>
      </w:r>
    </w:p>
    <w:p w14:paraId="0ADEA7BD" w14:textId="77777777" w:rsidR="00521136" w:rsidRPr="00AD2EFE" w:rsidRDefault="00521136" w:rsidP="00521136">
      <w:pPr>
        <w:pStyle w:val="NormalHanging12a"/>
      </w:pPr>
      <w:r w:rsidRPr="00AD2EFE">
        <w:t>K.</w:t>
      </w:r>
      <w:r w:rsidRPr="00AD2EFE">
        <w:tab/>
        <w:t xml:space="preserve">Considerando que o programa nuclear do Irão tem violado sistematicamente os termos do plano de ação conjunto global (PACG), ultrapassando o limite das suas reservas de urânio, aumentando as atividades de enriquecimento para 60 %, retomando operações </w:t>
      </w:r>
      <w:r w:rsidRPr="00AD2EFE">
        <w:lastRenderedPageBreak/>
        <w:t>proibidas pelo PACG nas instalações nucleares e obstruindo efetivamente a supervisão da AIEA</w:t>
      </w:r>
      <w:r w:rsidR="002E66CA" w:rsidRPr="00AD2EFE">
        <w:t>; considerando que</w:t>
      </w:r>
      <w:r w:rsidRPr="00AD2EFE">
        <w:t>, em 13 de setembro de 2023, a França, a Alemanha, o Reino Unido e os EUA transmitiram sérias preocupações com estes desenvolvimentos ao Conselho dos Governadores da AIEA</w:t>
      </w:r>
      <w:r w:rsidR="002E66CA" w:rsidRPr="00AD2EFE">
        <w:t>; considerando que</w:t>
      </w:r>
      <w:r w:rsidRPr="00AD2EFE">
        <w:t xml:space="preserve"> o Irão avisou Israel de que poderia rever a sua doutrina nuclear na sequência de especulações sobre um possível ataque de Israel a instalações nucleares iranianas;</w:t>
      </w:r>
    </w:p>
    <w:p w14:paraId="1AD5AD04" w14:textId="77777777" w:rsidR="00521136" w:rsidRPr="00AD2EFE" w:rsidRDefault="00521136" w:rsidP="00521136">
      <w:pPr>
        <w:pStyle w:val="NormalHanging12a"/>
      </w:pPr>
      <w:r w:rsidRPr="00AD2EFE">
        <w:t>L.</w:t>
      </w:r>
      <w:r w:rsidRPr="00AD2EFE">
        <w:tab/>
        <w:t>Considerando que o Irão prestou uma assistência militar significativa, nomeadamente através da construção de uma fábrica de drones na Rússia e da entrega de vários milhares de drones (veículos aéreos não tripulados), munições (de artilharia) e mísseis balísticos terra-terra, para apoiar a Rússia na sua guerra de agressão contra a Ucrânia</w:t>
      </w:r>
      <w:r w:rsidR="002E66CA" w:rsidRPr="00AD2EFE">
        <w:t>; considerando que</w:t>
      </w:r>
      <w:r w:rsidRPr="00AD2EFE">
        <w:t xml:space="preserve"> estas armas foram utilizadas de forma indiscriminada contra a população e as infraestruturas civis da Ucrânia</w:t>
      </w:r>
      <w:r w:rsidR="002E66CA" w:rsidRPr="00AD2EFE">
        <w:t>; considerando que</w:t>
      </w:r>
      <w:r w:rsidRPr="00AD2EFE">
        <w:t>, em 20 de julho de 2023, o Conselho Europeu estabeleceu um novo quadro de medidas restritivas contra a assistência militar iraniana à Rússia;</w:t>
      </w:r>
    </w:p>
    <w:p w14:paraId="125B4481" w14:textId="53893567" w:rsidR="00521136" w:rsidRPr="00AD2EFE" w:rsidRDefault="00521136" w:rsidP="00521136">
      <w:pPr>
        <w:pStyle w:val="NormalHanging12a"/>
      </w:pPr>
      <w:r w:rsidRPr="00AD2EFE">
        <w:t>M.</w:t>
      </w:r>
      <w:r w:rsidRPr="00AD2EFE">
        <w:tab/>
        <w:t>Considerando que os defensores dos direitos humanos, os manifestantes pacíficos, os jornalistas, os artistas, a comunidade LGBTIQ, os sindicalistas e os campeões do desporto foram vítimas da brutal repressão do Irão, a nível interno e transnacional</w:t>
      </w:r>
      <w:r w:rsidR="00FB4127" w:rsidRPr="00AD2EFE">
        <w:t>, inclusivamente no território da UE, em particular opositores ao regime iraniano como o antigo vice presidente do Parlamento Europeu Alejo Vidal Quadras, alvejado a tiro presumivelmente pelo IRGC</w:t>
      </w:r>
      <w:r w:rsidR="002E66CA" w:rsidRPr="00AD2EFE">
        <w:t>; considerando que</w:t>
      </w:r>
      <w:r w:rsidRPr="00AD2EFE">
        <w:t xml:space="preserve"> milhares de presos políticos se encontram atualmente em condições de detenção terríveis, muitos deles no corredor da morte</w:t>
      </w:r>
      <w:r w:rsidR="002E66CA" w:rsidRPr="00AD2EFE">
        <w:t>; considerando que</w:t>
      </w:r>
      <w:r w:rsidRPr="00AD2EFE">
        <w:t xml:space="preserve"> o Irão é um dos principais infratores mundiais no que respeita à pena de morte, visto que, de acordo com a Amnistia Internacional, executou pelo menos 853 pessoas em 2023</w:t>
      </w:r>
      <w:r w:rsidR="002E66CA" w:rsidRPr="00AD2EFE">
        <w:t>; considerando que</w:t>
      </w:r>
      <w:r w:rsidRPr="00AD2EFE">
        <w:t xml:space="preserve"> as minorias étnicas, religiosas e sexuais no Irão continuam a ser alvo de violenta repressão;</w:t>
      </w:r>
    </w:p>
    <w:p w14:paraId="525FB85E" w14:textId="77777777" w:rsidR="00521136" w:rsidRPr="00AD2EFE" w:rsidRDefault="00521136" w:rsidP="00521136">
      <w:pPr>
        <w:pStyle w:val="NormalHanging12a"/>
      </w:pPr>
      <w:r w:rsidRPr="00AD2EFE">
        <w:t>N.</w:t>
      </w:r>
      <w:r w:rsidRPr="00AD2EFE">
        <w:tab/>
        <w:t>Considerando que a questão do «</w:t>
      </w:r>
      <w:r w:rsidRPr="00AD2EFE">
        <w:rPr>
          <w:i/>
          <w:iCs/>
        </w:rPr>
        <w:t>apartheid</w:t>
      </w:r>
      <w:r w:rsidRPr="00AD2EFE">
        <w:t xml:space="preserve"> de género» no Irão foi levantada pelos relatores especiais das Nações Unidas</w:t>
      </w:r>
      <w:r w:rsidR="002E66CA" w:rsidRPr="00AD2EFE">
        <w:t>; considerando que</w:t>
      </w:r>
      <w:r w:rsidRPr="00AD2EFE">
        <w:t>, desde setembro de 2022 e do assassinato de Jina Mahsa Amini, se realizaram no Irão protestos históricos pelos direitos das mulheres</w:t>
      </w:r>
      <w:r w:rsidR="002E66CA" w:rsidRPr="00AD2EFE">
        <w:t>; considerando que</w:t>
      </w:r>
      <w:r w:rsidRPr="00AD2EFE">
        <w:t xml:space="preserve"> o Prémio Sakharov 2023 para a Liberdade de Pensamento foi atribuído a Jina Mahsa Amini e ao movimento iraniano «Mulher, Vida, Liberdade»</w:t>
      </w:r>
      <w:r w:rsidR="002E66CA" w:rsidRPr="00AD2EFE">
        <w:t>; considerando que</w:t>
      </w:r>
      <w:r w:rsidRPr="00AD2EFE">
        <w:t xml:space="preserve"> o regime iraniano respondeu com um quadro jurídico ainda mais severo, impondo ainda mais restrições ao vestuário das mulheres e aumentando a segregação de género;</w:t>
      </w:r>
    </w:p>
    <w:p w14:paraId="3D30CE22" w14:textId="77777777" w:rsidR="00521136" w:rsidRPr="00AD2EFE" w:rsidRDefault="00521136" w:rsidP="00521136">
      <w:pPr>
        <w:pStyle w:val="NormalHanging12a"/>
      </w:pPr>
      <w:r w:rsidRPr="00AD2EFE">
        <w:t>O.</w:t>
      </w:r>
      <w:r w:rsidRPr="00AD2EFE">
        <w:tab/>
        <w:t>Considerando que os EUA designaram o IRGC como organização terrorista estrangeira em abril de 2019</w:t>
      </w:r>
      <w:r w:rsidR="002E66CA" w:rsidRPr="00AD2EFE">
        <w:t>; considerando que</w:t>
      </w:r>
      <w:r w:rsidRPr="00AD2EFE">
        <w:t>, desde o início de 2023, o Parlamento Europeu tem solicitado que o IRGC seja acrescentado à lista UE de terroristas</w:t>
      </w:r>
      <w:r w:rsidR="002E66CA" w:rsidRPr="00AD2EFE">
        <w:t>; considerando que</w:t>
      </w:r>
      <w:r w:rsidRPr="00AD2EFE">
        <w:t xml:space="preserve"> o IRGC esteve implicado no planeamento e/ou na execução de dezenas de operações, assassinatos e atentados terroristas em solo da UE nos últimos 30 anos, incluindo o «plano de Mykonos» em Berlim, em 1992, o atentado à bomba contra um autocarro e o assassinato de cinco cidadãos israelitas e de um cidadão búlgaro na Bulgária, em 2012, o assassinato de dissidentes iranianos nos Países Baixos em 2015 e 2017, o atentado bombista planeado contra dissidentes iranianos em Paris em 2018, o assassinato planeado de três dissidentes iranianos na Dinamarca em 2018 e uma tentativa de ataque incendiário contra uma sinagoga em Bochum, na Alemanha, em 2022</w:t>
      </w:r>
      <w:r w:rsidR="002E66CA" w:rsidRPr="00AD2EFE">
        <w:t>; considerando que</w:t>
      </w:r>
      <w:r w:rsidRPr="00AD2EFE">
        <w:t>, na reunião do Conselho dos Negócios Estrangeiros de 16 de abril de 2024, alguns ministros dos Negócios Estrangeiros da UE solicitaram que fossem adotadas sanções contra o IRGC;</w:t>
      </w:r>
    </w:p>
    <w:p w14:paraId="1460BBFB" w14:textId="77777777" w:rsidR="00521136" w:rsidRPr="00AD2EFE" w:rsidRDefault="00521136" w:rsidP="00521136">
      <w:pPr>
        <w:pStyle w:val="NormalHanging12a"/>
      </w:pPr>
      <w:r w:rsidRPr="00AD2EFE">
        <w:lastRenderedPageBreak/>
        <w:t>P.</w:t>
      </w:r>
      <w:r w:rsidRPr="00AD2EFE">
        <w:tab/>
        <w:t>Considerando que cerca de duas dezenas de cidadãos inocentes da UE foram arbitrariamente detidos no âmbito da diplomacia de reféns do Irão para extorquir vitórias políticas</w:t>
      </w:r>
      <w:r w:rsidR="002E66CA" w:rsidRPr="00AD2EFE">
        <w:t>; considerando que</w:t>
      </w:r>
      <w:r w:rsidRPr="00AD2EFE">
        <w:t xml:space="preserve"> o Irão raptou dissidentes fora do seu próprio território para os prender ou executar no Irão;</w:t>
      </w:r>
    </w:p>
    <w:p w14:paraId="5E18468D" w14:textId="77777777" w:rsidR="00521136" w:rsidRPr="00AD2EFE" w:rsidRDefault="00521136" w:rsidP="00521136">
      <w:pPr>
        <w:pStyle w:val="NormalHanging12a"/>
      </w:pPr>
      <w:r w:rsidRPr="00AD2EFE">
        <w:t>Q.</w:t>
      </w:r>
      <w:r w:rsidRPr="00AD2EFE">
        <w:tab/>
        <w:t>Considerando que, em resposta às sanções que lhe foram impostas pela UE, o Irão aplicou medidas de retaliação contra deputados ao Parlamento Europeu</w:t>
      </w:r>
      <w:r w:rsidR="002E66CA" w:rsidRPr="00AD2EFE">
        <w:t>; considerando que</w:t>
      </w:r>
      <w:r w:rsidRPr="00AD2EFE">
        <w:t>, em resposta, em novembro de 2022 o Parlamento decidiu que as suas delegações e comissões deixariam de estabelecer contactos com as autoridades iranianas;</w:t>
      </w:r>
    </w:p>
    <w:p w14:paraId="64577C2B" w14:textId="77777777" w:rsidR="00521136" w:rsidRPr="00AD2EFE" w:rsidRDefault="00521136" w:rsidP="00521136">
      <w:pPr>
        <w:pStyle w:val="NormalHanging12a"/>
      </w:pPr>
      <w:r w:rsidRPr="00AD2EFE">
        <w:t>R.</w:t>
      </w:r>
      <w:r w:rsidRPr="00AD2EFE">
        <w:tab/>
        <w:t>Considerando que, em 17 de abril de 2024, o Conselho decidiu alargar o seu regime de sanções contra o Irão de modo a incluir a produção de mísseis e drones por parte deste país</w:t>
      </w:r>
      <w:r w:rsidR="002E66CA" w:rsidRPr="00AD2EFE">
        <w:t>; considerando que</w:t>
      </w:r>
      <w:r w:rsidRPr="00AD2EFE">
        <w:t xml:space="preserve"> a Administração dos EUA impôs novas sanções relacionadas com os programas de mísseis balísticos e de drones do Irão;</w:t>
      </w:r>
    </w:p>
    <w:p w14:paraId="0B435B83" w14:textId="77777777" w:rsidR="00521136" w:rsidRPr="00AD2EFE" w:rsidRDefault="00521136" w:rsidP="00521136">
      <w:pPr>
        <w:pStyle w:val="NormalHanging12a"/>
      </w:pPr>
      <w:r w:rsidRPr="00AD2EFE">
        <w:t>S.</w:t>
      </w:r>
      <w:r w:rsidRPr="00AD2EFE">
        <w:tab/>
        <w:t>Considerando que, apesar do apoio de parte da população iraniana revelado pelos meios de comunicação social estatais, os ataques do regime iraniano têm sido fortemente criticados por muitos iranianos dentro e fora do país</w:t>
      </w:r>
      <w:r w:rsidR="002E66CA" w:rsidRPr="00AD2EFE">
        <w:t>; considerando que</w:t>
      </w:r>
      <w:r w:rsidRPr="00AD2EFE">
        <w:t>, na sequência do ataque, terão sido tomadas medidas para silenciar as vozes dissidentes e impedi-las de exprimir críticas</w:t>
      </w:r>
      <w:r w:rsidR="002E66CA" w:rsidRPr="00AD2EFE">
        <w:t>; considerando que</w:t>
      </w:r>
      <w:r w:rsidRPr="00AD2EFE">
        <w:t xml:space="preserve"> o regime iraniano não representa legitimamente o povo do Irão;</w:t>
      </w:r>
    </w:p>
    <w:p w14:paraId="321A548E" w14:textId="77777777" w:rsidR="00521136" w:rsidRPr="00AD2EFE" w:rsidRDefault="00521136" w:rsidP="00521136">
      <w:pPr>
        <w:pStyle w:val="NormalHanging12a"/>
        <w:rPr>
          <w:rStyle w:val="None"/>
          <w:iCs/>
          <w:color w:val="00000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AD2EFE">
        <w:rPr>
          <w:rStyle w:val="None"/>
          <w:color w:val="000000"/>
        </w:rPr>
        <w:t>1.</w:t>
      </w:r>
      <w:r w:rsidRPr="00AD2EFE">
        <w:rPr>
          <w:rStyle w:val="None"/>
          <w:color w:val="000000"/>
        </w:rPr>
        <w:tab/>
      </w:r>
      <w:r w:rsidRPr="00AD2EFE">
        <w:t xml:space="preserve">Condena com a maior veemência possível o ataque sem precedentes com drones e mísseis perpetrado pelo Irão contra Israel na noite de 13 para 14 de abril de 2024, bem como a grave escalada e ameaça à segurança regional que tal representa; reitera o seu total apoio à segurança do Estado de Israel e dos seus cidadãos; manifesta solidariedade com a família da vítima da comunidade árabe beduína de Israel, uma menina de sete anos que foi gravemente ferida por estilhaços; </w:t>
      </w:r>
      <w:r w:rsidRPr="00AD2EFE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condena os ataques simultâneos perpetrados pelas forças interpostas do Irão, a saber, o Hezbolá, nos Montes Golã, e o movimento huti, ao largo da costa do Iémen;</w:t>
      </w:r>
    </w:p>
    <w:p w14:paraId="372AAC9E" w14:textId="77777777" w:rsidR="00521136" w:rsidRPr="00AD2EFE" w:rsidRDefault="00521136" w:rsidP="00521136">
      <w:pPr>
        <w:pStyle w:val="NormalHanging12a"/>
      </w:pPr>
      <w:r w:rsidRPr="00AD2EFE">
        <w:t>2.</w:t>
      </w:r>
      <w:r w:rsidRPr="00AD2EFE">
        <w:tab/>
        <w:t>Considera deplorável o ataque ao consulado iraniano em Damasco, em 1 de abril de 2024, que causou várias mortes; recorda a importância do princípio da inviolabilidade das instalações diplomáticas e consulares, que deve ser respeitado em todas as circunstâncias ao abrigo do direito internacional;</w:t>
      </w:r>
    </w:p>
    <w:p w14:paraId="7B2D0BDA" w14:textId="77777777" w:rsidR="00521136" w:rsidRPr="00AD2EFE" w:rsidRDefault="00521136" w:rsidP="00521136">
      <w:pPr>
        <w:pStyle w:val="NormalHanging12a"/>
        <w:rPr>
          <w:rStyle w:val="None"/>
          <w:color w:val="000000"/>
          <w:szCs w:val="24"/>
        </w:rPr>
      </w:pPr>
      <w:r w:rsidRPr="00AD2EFE">
        <w:rPr>
          <w:rStyle w:val="None"/>
          <w:color w:val="000000"/>
        </w:rPr>
        <w:t>3.</w:t>
      </w:r>
      <w:r w:rsidRPr="00AD2EFE">
        <w:rPr>
          <w:rStyle w:val="None"/>
          <w:color w:val="000000"/>
        </w:rPr>
        <w:tab/>
      </w:r>
      <w:r w:rsidRPr="00AD2EFE">
        <w:t>Solicita a todas as partes que evitem qualquer nova escalada e apela à máxima contenção e ao desanuviamento;</w:t>
      </w:r>
    </w:p>
    <w:p w14:paraId="0A2C9DF7" w14:textId="77777777" w:rsidR="00521136" w:rsidRPr="00AD2EFE" w:rsidRDefault="00521136" w:rsidP="00521136">
      <w:pPr>
        <w:pStyle w:val="NormalHanging12a"/>
      </w:pPr>
      <w:r w:rsidRPr="00AD2EFE">
        <w:t>4.</w:t>
      </w:r>
      <w:r w:rsidRPr="00AD2EFE">
        <w:tab/>
      </w:r>
      <w:r w:rsidRPr="00AD2EFE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Congratula-se com a decisão da UE de aumentar e alargar o atual regime de sanções, estabelecido em julho de 2023, inclusive aplicando sanções ao fabrico e ao fornecimento de drones não tripulados e de mísseis pelo Irão à Rússia e à região do Médio Oriente; exige que essas sanções sejam urgentemente aplicadas;</w:t>
      </w:r>
      <w:r w:rsidRPr="00AD2EFE">
        <w:rPr>
          <w:rStyle w:val="None"/>
          <w:color w:val="000000"/>
        </w:rPr>
        <w:t xml:space="preserve"> </w:t>
      </w:r>
      <w:r w:rsidRPr="00AD2EFE">
        <w:t xml:space="preserve">solicita que sejam sancionadas mais pessoas e entidades, como o Baithe Rahbari (Gabinete do Líder Supremo do Irão), o Estado-Maior das Forças Armadas iranianas, o Quartel-General Central de Khatam-al Anbiya e o seu comandante, Gholam Ali Rashid, a marinha do IRGC, o ministro da Defesa do Irão, brigadeiro-general Mohammad-Reza Ashtiani, e o diretor da Organização das Indústrias Aeroespaciais do Irão, Seid Nooshin; observa que as atuais sanções da UE apenas incluem seis pessoas e cinco entidades responsáveis pelo programa nuclear do Irão; sublinha que estas sanções terão de ser prolongadas depois de julho de 2024; solicita ao Conselho que prepare sanções adicionais nos </w:t>
      </w:r>
      <w:r w:rsidRPr="00AD2EFE">
        <w:lastRenderedPageBreak/>
        <w:t>setores bancário, petrolífero e da aviação, a impor no caso de o regime iraniano agravar inaceitavelmente a situação, e que comunique antecipadamente essas medidas preparatórias às autoridades iranianas; exorta o Conselho a avaliar as mais recentes sanções dos EUA contra o Irão e a considerar o valor acrescentado da sincronização dos regimes de sanções da UE e dos EUA, na medida em que tal seja pertinente e possível; salienta que essas sanções devem ser coordenadas com os EUA, o Reino Unido, o G7 e outros aliados, na medida do possível;</w:t>
      </w:r>
    </w:p>
    <w:p w14:paraId="6CB4B244" w14:textId="77777777" w:rsidR="00521136" w:rsidRPr="00AD2EFE" w:rsidRDefault="00521136" w:rsidP="00521136">
      <w:pPr>
        <w:pStyle w:val="NormalHanging12a"/>
      </w:pPr>
      <w:r w:rsidRPr="00AD2EFE">
        <w:t>5.</w:t>
      </w:r>
      <w:r w:rsidRPr="00AD2EFE">
        <w:tab/>
        <w:t>Reitera o seu apelo de longa data ao Conselho e ao Vice-Presidente da Comissão/Alto Representante da União para os Negócios Estrangeiros e a Política de Segurança (VP/AR) para que acrescentem o IRGC à lista da UE de organizações terroristas e salienta que essa decisão é há muito necessária; salienta que, nos últimos anos, se registaram dezenas de assassinatos e tentativas de assassinato por parte do IRGC em solo europeu;</w:t>
      </w:r>
    </w:p>
    <w:p w14:paraId="6B27DAFA" w14:textId="7329F11C" w:rsidR="00521136" w:rsidRPr="00AD2EFE" w:rsidRDefault="00521136" w:rsidP="00521136">
      <w:pPr>
        <w:pStyle w:val="NormalHanging12a"/>
      </w:pPr>
      <w:r w:rsidRPr="00AD2EFE">
        <w:t>6.</w:t>
      </w:r>
      <w:r w:rsidRPr="00AD2EFE">
        <w:tab/>
        <w:t>Realça as fortes ligações entre o Irão/IRGC, as suas forças interpostas, como os hutis, as milícias iraquianas e sírias e as organizações incluídas na lista UE de terroristas, isto é, o Hamas e a ala militar do Hezbolá;</w:t>
      </w:r>
      <w:r w:rsidR="00CE7172" w:rsidRPr="00AD2EFE">
        <w:t xml:space="preserve"> insta o Conselho e o VP/AR a acrescentarem o Hezbolá na sua globalidade à lista de organizações terroristas da UE;</w:t>
      </w:r>
      <w:r w:rsidRPr="00AD2EFE">
        <w:t xml:space="preserve"> condena as exportações de drones e munições por parte do Irão para apoiar a guerra de agressão da Rússia contra a Ucrânia;</w:t>
      </w:r>
    </w:p>
    <w:p w14:paraId="7308A7D2" w14:textId="77777777" w:rsidR="00521136" w:rsidRPr="00AD2EFE" w:rsidRDefault="00521136" w:rsidP="00521136">
      <w:pPr>
        <w:pStyle w:val="NormalHanging12a"/>
      </w:pPr>
      <w:r w:rsidRPr="00AD2EFE">
        <w:t>7.</w:t>
      </w:r>
      <w:r w:rsidRPr="00AD2EFE">
        <w:tab/>
        <w:t>Manifesta profunda preocupação com a espiral de escalada na região e com o papel desestabilizador que o regime iraniano e a sua rede de intervenientes não estatais desempenham no Médio Oriente; está alarmado com o grave risco de uma escalada generalizada na região; condena todos os atos de intervenientes estatais e não estatais que provoquem ou alimentem um crescente ciclo de escalada; exorta todas as partes a desanuviarem as tensões e a absterem-se da ameaça ou do uso da força, em conformidade com as suas obrigações internacionais, em particular nos termos do artigo 2.º, n.º 4, da Carta das Nações Unidas, e a exercerem a máxima contenção; insta todos os intervenientes a respeitarem e defenderem plenamente o direito internacional e o direito internacional humanitário em todas as circunstâncias;</w:t>
      </w:r>
    </w:p>
    <w:p w14:paraId="2E1B1EFF" w14:textId="77777777" w:rsidR="00521136" w:rsidRPr="00AD2EFE" w:rsidRDefault="00521136" w:rsidP="00521136">
      <w:pPr>
        <w:pStyle w:val="NormalHanging12a"/>
      </w:pPr>
      <w:r w:rsidRPr="00AD2EFE">
        <w:t>8.</w:t>
      </w:r>
      <w:r w:rsidRPr="00AD2EFE">
        <w:tab/>
        <w:t>Insta o VP/AR e os Estados-Membros a prosseguirem e a intensificarem os seus esforços diplomáticos junto de parceiros internacionais, designadamente os países do Golfo, com base em iniciativas recentes e, em particular, no primeiro Fórum de Alto Nível UE-Conselho de Cooperação do Golfo a nível ministerial, realizado em 22 de abril de 2024, assim como a incentivarem o desanuviamento urgente e o diálogo construtivo;</w:t>
      </w:r>
    </w:p>
    <w:p w14:paraId="6180F247" w14:textId="09D6C98F" w:rsidR="00521136" w:rsidRPr="00AD2EFE" w:rsidRDefault="00521136" w:rsidP="00521136">
      <w:pPr>
        <w:pStyle w:val="NormalHanging12a"/>
      </w:pPr>
      <w:r w:rsidRPr="00AD2EFE">
        <w:t>9.</w:t>
      </w:r>
      <w:r w:rsidRPr="00AD2EFE">
        <w:tab/>
        <w:t>Realça os efeitos profundos da guerra na Faixa de Gaza sobre a estabilidade da região; sublinha a obrigação de Israel de respeitar o direito internacional no exercício do seu direito à autodefesa, tal como consagrado na Carta das Nações Unidas;</w:t>
      </w:r>
      <w:r w:rsidR="007C6A87" w:rsidRPr="00AD2EFE">
        <w:t xml:space="preserve"> lamenta o terrorismo e os crimes de guerra cometidos pelo Hamas e por outros grupos terroristas palestinianos contra Israel e contra os povos israelita e palestiniano; solicita que todos os reféns israelitas detidos na Faixa de Gaza sejam imediata e incondicionalmente libertados e que o Comité Internacional da Cruz Vermelha tenha acesso imediato a todos os reféns israelitas detidos na Faixa de Gaza, para poderem receber cuidados médicos;</w:t>
      </w:r>
      <w:r w:rsidRPr="00AD2EFE">
        <w:t xml:space="preserve"> condena a desproporcionada resposta militar israelita, que causou um número de mortes civis sem precedentes; exorta Israel a fornecer à população faminta da Faixa de Gaza um acesso total, sem entraves e seguro à ajuda humanitária e a cumprir as </w:t>
      </w:r>
      <w:r w:rsidRPr="00AD2EFE">
        <w:lastRenderedPageBreak/>
        <w:t>ordens do Tribunal Internacional de Justiça; salienta que encontrar uma solução política duradoura para o conflito israelo-palestiniano melhoraria significativamente a estabilidade e as perspetivas da região; reitera o seu apoio inequívoco a uma solução negociada de dois Estados, com base nas fronteiras de 1967, assente na coexistência de dois Estados soberanos e democráticos num contexto de paz e segurança garantida, com Jerusalém como capital de ambos os Estados, e na plena observância do direito internacional;</w:t>
      </w:r>
    </w:p>
    <w:p w14:paraId="2ADB7F3C" w14:textId="77777777" w:rsidR="00521136" w:rsidRPr="00AD2EFE" w:rsidRDefault="00521136" w:rsidP="00521136">
      <w:pPr>
        <w:pStyle w:val="NormalHanging12a"/>
        <w:rPr>
          <w:szCs w:val="22"/>
        </w:rPr>
      </w:pPr>
      <w:r w:rsidRPr="00AD2EFE">
        <w:t>10.</w:t>
      </w:r>
      <w:r w:rsidRPr="00AD2EFE">
        <w:tab/>
        <w:t>Observa que o Irão, a Rússia e a China têm vindo a partilhar cada vez mais informações críticas e a cooperar através de empresas de fachada, esforços para ligar os seus sistemas bancários e transferências de petróleo no mar com os dispositivos de localização desligados, tornando as sanções da UE menos eficazes; solicita uma melhor aplicação das sanções da UE, a atualização urgente dos sistemas de identificação automática para combater o contornamento das sanções e dos embargos, bem como uma maior vigilância e inspeção dos navios iranianos suspeitos;</w:t>
      </w:r>
    </w:p>
    <w:p w14:paraId="41ACFAC9" w14:textId="12EF6E4B" w:rsidR="00521136" w:rsidRPr="00AD2EFE" w:rsidRDefault="00521136" w:rsidP="00521136">
      <w:pPr>
        <w:pStyle w:val="NormalHanging12a"/>
      </w:pPr>
      <w:r w:rsidRPr="00AD2EFE">
        <w:t>11.</w:t>
      </w:r>
      <w:r w:rsidRPr="00AD2EFE">
        <w:tab/>
        <w:t>Condena o persistente incumprimento por parte do Irão das suas obrigações legais de salvaguarda ao abrigo do PACG e o avanço do seu programa nuclear para lá de qualquer justificação civil credível; salienta que várias fontes credíveis afirmaram que o atual «</w:t>
      </w:r>
      <w:r w:rsidRPr="00AD2EFE">
        <w:rPr>
          <w:i/>
          <w:iCs/>
        </w:rPr>
        <w:t>breakout time</w:t>
      </w:r>
      <w:r w:rsidRPr="00AD2EFE">
        <w:t>» do Irão – o tempo de que o Irão precisa para produzir plutónio suficiente para fabricar uma arma nuclear – é de semanas apenas; insta as autoridades iranianas a cumprirem imediatamente as suas obrigações e a resolverem todas as questões pendentes conexas; exorta o E3 (França, Alemanha e Reino Unido) e os seus parceiros a ponderarem a imposição de um prazo ao Irão para que cumpra as suas obrigações ao abrigo do PACG e, em caso de incumprimento, a solicitarem coletivamente a ativação do mecanismo de reintrodução de sanções («</w:t>
      </w:r>
      <w:r w:rsidRPr="00AD2EFE">
        <w:rPr>
          <w:i/>
          <w:iCs/>
        </w:rPr>
        <w:t>snapback</w:t>
      </w:r>
      <w:r w:rsidRPr="00AD2EFE">
        <w:t>») previsto na Resolução 2231 do Conselho de Segurança das Nações Unidas;</w:t>
      </w:r>
    </w:p>
    <w:p w14:paraId="0666DBB6" w14:textId="4DB8293C" w:rsidR="00872024" w:rsidRPr="00AD2EFE" w:rsidRDefault="00765DEE" w:rsidP="00521136">
      <w:pPr>
        <w:pStyle w:val="NormalHanging12a"/>
      </w:pPr>
      <w:r w:rsidRPr="00AD2EFE">
        <w:t>12.</w:t>
      </w:r>
      <w:r w:rsidR="00872024" w:rsidRPr="00AD2EFE">
        <w:tab/>
        <w:t>Considerando que os EUA estão extremamente preocupados com a cooperação militar entre o Irão e a Coreia do Norte, especialmente em matéria de mísseis nucleares e balísticos; considerando que existem também preocupações legítimas com a cooperação militar do Irão com a Rússia e o Paquistão, bem como com a sua cooperação reforçada com a China em matéria de tecnologias militares; considerando que o Conselho de Segurança das Nações Unidas denunciou o intercâmbio de tecnologias para mísseis de longo alcance e armas entre a Coreia do Norte e o Irão, que também foram distribuídas às forças que agem como mandatários do Irão no Médio Oriente; considerando que a Coreia do Norte forneceu ao Irão componentes de importância vital para mísseis, permitindo o desenvolvimento de mísseis balísticos capazes de atingirem alvos muito mais distantes, e ajudando, com efeito, o Irão a transformar-se numa potência em matéria de mísseis;</w:t>
      </w:r>
    </w:p>
    <w:p w14:paraId="241DD0A1" w14:textId="10726421" w:rsidR="00521136" w:rsidRPr="00AD2EFE" w:rsidRDefault="00765DEE" w:rsidP="00521136">
      <w:pPr>
        <w:pStyle w:val="NormalHanging12a"/>
      </w:pPr>
      <w:r w:rsidRPr="00AD2EFE">
        <w:t>13</w:t>
      </w:r>
      <w:r w:rsidR="00521136" w:rsidRPr="00AD2EFE">
        <w:t>.</w:t>
      </w:r>
      <w:r w:rsidR="00521136" w:rsidRPr="00AD2EFE">
        <w:tab/>
        <w:t>Recorda que a Resolução 1701 do Conselho de Segurança das Nações Unidas exige o desarmamento do Hezbolá; condena o papel ativo do Hezbolá na repressão das vozes da oposição no Líbano e na Síria, inclusive através do assassinato de vários denunciantes no contexto da explosão no porto de Beirute em agosto de 2020; condena os ataques do Hezbolá contra Israel e os ataques aéreos israelitas no Líbano; insta urgentemente as duas partes a mostrarem contenção e a cessarem as hostilidades, de modo a não agravar ainda mais as tensões;</w:t>
      </w:r>
      <w:r w:rsidR="00AF320E" w:rsidRPr="00AD2EFE">
        <w:t xml:space="preserve"> exorta o Conselho a designar o Hezbolá na sua totalidade como uma organização terrorista;</w:t>
      </w:r>
    </w:p>
    <w:p w14:paraId="26D981A3" w14:textId="0F77F0DA" w:rsidR="00521136" w:rsidRPr="00AD2EFE" w:rsidRDefault="00765DEE" w:rsidP="00521136">
      <w:pPr>
        <w:pStyle w:val="NormalHanging12a"/>
      </w:pPr>
      <w:r w:rsidRPr="00AD2EFE">
        <w:t>14</w:t>
      </w:r>
      <w:r w:rsidR="00521136" w:rsidRPr="00AD2EFE">
        <w:t>.</w:t>
      </w:r>
      <w:r w:rsidR="00521136" w:rsidRPr="00AD2EFE">
        <w:tab/>
        <w:t xml:space="preserve">Exorta a UE e os seus Estados-Membros a consolidarem e intensificarem todos os </w:t>
      </w:r>
      <w:r w:rsidR="00521136" w:rsidRPr="00AD2EFE">
        <w:lastRenderedPageBreak/>
        <w:t xml:space="preserve">esforços para garantir a libertação segura e imediata de todos os reféns retirados do navio </w:t>
      </w:r>
      <w:r w:rsidR="00521136" w:rsidRPr="00AD2EFE">
        <w:rPr>
          <w:i/>
        </w:rPr>
        <w:t>Galaxy Leader</w:t>
      </w:r>
      <w:r w:rsidR="00521136" w:rsidRPr="00AD2EFE">
        <w:t xml:space="preserve">, incluindo dois cidadãos búlgaros, um cidadão romeno e três cidadãos ucranianos, que se encontram detidos pelos hutis desde 19 de novembro de 2023; exorta o VP/AR e os Estados-Membros a intensificarem as suas diligências diplomáticas para este efeito e a colaborarem com todas as partes interessadas pertinentes, a fim de garantir o regresso em segurança e sem mais demora dos europeus em cativeiro; </w:t>
      </w:r>
      <w:r w:rsidR="00521136" w:rsidRPr="00AD2EFE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condena veementemente a interceção ilegal, a subida a bordo e a detenção do navio com pavilhão português </w:t>
      </w:r>
      <w:r w:rsidR="00521136" w:rsidRPr="00AD2EFE">
        <w:rPr>
          <w:i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MSC Aries</w:t>
      </w:r>
      <w:r w:rsidR="00521136" w:rsidRPr="00AD2EFE">
        <w:rPr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>, juntamente com a sua tripulação, por entidades que operam sob o controlo direto ou indireto do Governo iraniano;</w:t>
      </w:r>
      <w:r w:rsidR="00521136" w:rsidRPr="00AD2EFE">
        <w:rPr>
          <w:rStyle w:val="NingunoA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solicita com urgência a sua libertação imediata;</w:t>
      </w:r>
      <w:r w:rsidR="00521136" w:rsidRPr="00AD2EFE">
        <w:rPr>
          <w:rStyle w:val="None"/>
          <w:color w:val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521136" w:rsidRPr="00AD2EFE">
        <w:t>congratula-se com a decisão do Conselho da UE de lançar a operação ASPIDES da Força Naval da UE para salvaguardar a liberdade de navegação ao largo da costa do Iémen, em estreita cooperação com os intervenientes regionais;</w:t>
      </w:r>
    </w:p>
    <w:p w14:paraId="014F1932" w14:textId="14370B9C" w:rsidR="00521136" w:rsidRPr="00AD2EFE" w:rsidRDefault="00765DEE" w:rsidP="00521136">
      <w:pPr>
        <w:pStyle w:val="NormalHanging12a"/>
      </w:pPr>
      <w:r w:rsidRPr="00AD2EFE">
        <w:t>15</w:t>
      </w:r>
      <w:r w:rsidR="00521136" w:rsidRPr="00AD2EFE">
        <w:t>.</w:t>
      </w:r>
      <w:r w:rsidR="00521136" w:rsidRPr="00AD2EFE">
        <w:tab/>
        <w:t xml:space="preserve">Condena a diplomacia de reféns do Irão; </w:t>
      </w:r>
      <w:r w:rsidR="00FB4127" w:rsidRPr="00AD2EFE">
        <w:t xml:space="preserve">exige a libertação imediata e incondicional de Johan Floderus, cidadão sueco e funcionário da UE que foi arbitrariamente detido em Teerão e permanece preso no Irão em condições desumanas; </w:t>
      </w:r>
      <w:r w:rsidR="00521136" w:rsidRPr="00AD2EFE">
        <w:t xml:space="preserve">exorta a UE a lançar uma estratégia para contrariar essa diplomacia de reféns com um grupo de trabalho específico, com o objetivo de prestar melhor assistência às famílias dos detidos e prevenir eficazmente novas tomadas de reféns; apela para que sejam desincentivadas todas as viagens não essenciais de cidadãos da UE ao Irão; solicita ao Irão que liberte imediata e incondicionalmente todos os nacionais da UE, incluindo o funcionário do Serviço Europeu para a Ação Externa </w:t>
      </w:r>
      <w:r w:rsidR="00AF320E" w:rsidRPr="00AD2EFE">
        <w:t>Johan Floderus</w:t>
      </w:r>
      <w:r w:rsidR="00521136" w:rsidRPr="00AD2EFE">
        <w:t>, assim como todos os outros prisioneiros políticos;</w:t>
      </w:r>
    </w:p>
    <w:p w14:paraId="52863182" w14:textId="1EC51A7E" w:rsidR="00521136" w:rsidRPr="00AD2EFE" w:rsidRDefault="00765DEE" w:rsidP="00521136">
      <w:pPr>
        <w:pStyle w:val="NormalHanging12a"/>
        <w:rPr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AD2EFE">
        <w:t>16</w:t>
      </w:r>
      <w:r w:rsidR="00521136" w:rsidRPr="00AD2EFE">
        <w:t>.</w:t>
      </w:r>
      <w:r w:rsidR="00521136" w:rsidRPr="00AD2EFE">
        <w:tab/>
      </w:r>
      <w:r w:rsidR="00521136" w:rsidRPr="00AD2EFE">
        <w:rPr>
          <w14:textOutline w14:w="12700" w14:cap="flat" w14:cmpd="sng" w14:algn="ctr">
            <w14:noFill/>
            <w14:prstDash w14:val="solid"/>
            <w14:miter w14:lim="100000"/>
          </w14:textOutline>
        </w:rPr>
        <w:t>Condena as sanções impostas pelas autoridades iranianas contra deputados ao Parlamento Europeu; reafirma que, enquanto estas sanções contra deputados europeus se mantiverem, o diálogo interparlamentar terá de continuar suspenso;</w:t>
      </w:r>
    </w:p>
    <w:p w14:paraId="012637BA" w14:textId="0A961DCE" w:rsidR="00521136" w:rsidRPr="00AD2EFE" w:rsidRDefault="00765DEE" w:rsidP="00521136">
      <w:pPr>
        <w:pStyle w:val="NormalHanging12a"/>
      </w:pPr>
      <w:r w:rsidRPr="00AD2EFE">
        <w:t>17</w:t>
      </w:r>
      <w:r w:rsidR="00521136" w:rsidRPr="00AD2EFE">
        <w:t>.</w:t>
      </w:r>
      <w:r w:rsidR="00521136" w:rsidRPr="00AD2EFE">
        <w:tab/>
        <w:t>Solicita à Comissão que lance uma estratégia abrangente para combater a repressão transnacional exercida pelo regime iraniano na UE e considera que a estratégia deve promover instrumentos técnicos que previnam essa repressão; apela à aplicação de sanções contra os familiares de membros preeminentes do IRGC que estudem ou trabalhem na UE e à adoção de medidas para evitar qualquer assédio ou intimidação da diáspora iraniana na UE, incluindo nas universidades; exorta os serviços de informações europeus, as Equipas de Resposta a Incidentes de Segurança Informática (CSIRT), o Centro de Situação e de Informações da UE, a Agência da UE para a Cibersegurança e o Grupo de Missão East StratCom a cooperarem ativamente na luta contra as operações de desinformação e de intimidação em linha do Irão/IRGC/Ministério da Informação do Irão dirigidas contra a diáspora iraniana e na dissuasão dessas operações; insta os Estados-Membros da UE a combaterem ativamente as tentativas do Irão de difundir a sua ideologia revolucionária no território da UE;</w:t>
      </w:r>
    </w:p>
    <w:p w14:paraId="32347DF0" w14:textId="3C022CFF" w:rsidR="00521136" w:rsidRPr="00AD2EFE" w:rsidRDefault="00765DEE" w:rsidP="00521136">
      <w:pPr>
        <w:pStyle w:val="NormalHanging12a"/>
      </w:pPr>
      <w:r w:rsidRPr="00AD2EFE">
        <w:t>18</w:t>
      </w:r>
      <w:r w:rsidR="00521136" w:rsidRPr="00AD2EFE">
        <w:t>.</w:t>
      </w:r>
      <w:r w:rsidR="00521136" w:rsidRPr="00AD2EFE">
        <w:tab/>
        <w:t>Insta a UE e os Estados-Membros a fornecerem apoio em matéria de cibersegurança e acesso a redes privadas virtuais (VPN) gratuitas ou outros instrumentos de contornamento à sociedade civil e à oposição no Irão;</w:t>
      </w:r>
    </w:p>
    <w:p w14:paraId="22D02FD7" w14:textId="3A84FF37" w:rsidR="00521136" w:rsidRPr="00AD2EFE" w:rsidRDefault="00765DEE" w:rsidP="00521136">
      <w:pPr>
        <w:pStyle w:val="NormalHanging12a"/>
      </w:pPr>
      <w:r w:rsidRPr="00AD2EFE">
        <w:t>19</w:t>
      </w:r>
      <w:r w:rsidR="00521136" w:rsidRPr="00AD2EFE">
        <w:t>.</w:t>
      </w:r>
      <w:r w:rsidR="00521136" w:rsidRPr="00AD2EFE">
        <w:tab/>
        <w:t>Condena a repressão maciça a nível nacional exercida pelas autoridades iranianas contra as mulheres que violam a afrontosa lei do hijabe; regista com grande preocupação a recente escalada da aplicação da pena de morte no Irão e solicita uma vez mais que seja abolida;</w:t>
      </w:r>
    </w:p>
    <w:p w14:paraId="27C80D4E" w14:textId="1B3FACE3" w:rsidR="00521136" w:rsidRPr="00AD2EFE" w:rsidRDefault="00765DEE" w:rsidP="00521136">
      <w:pPr>
        <w:pStyle w:val="NormalHanging12a"/>
      </w:pPr>
      <w:r w:rsidRPr="00AD2EFE">
        <w:lastRenderedPageBreak/>
        <w:t>20</w:t>
      </w:r>
      <w:r w:rsidR="00521136" w:rsidRPr="00AD2EFE">
        <w:t>.</w:t>
      </w:r>
      <w:r w:rsidR="00521136" w:rsidRPr="00AD2EFE">
        <w:tab/>
        <w:t>Manifesta apoio e solidariedade totais para com a sociedade civil e as forças democráticas do Irão; insta a UE e os seus Estados-Membros a aumentarem o apoio aos defensores dos direitos humanos que precisem de sair do Irão, inclusive através do acesso rápido a vistos e asilo, e a prestarem apoio técnico às pessoas que ajudam a sociedade civil iraniana, assegurando simultaneamente que essas atividades sejam administradas por iranianos;</w:t>
      </w:r>
    </w:p>
    <w:p w14:paraId="40B34263" w14:textId="74D83403" w:rsidR="00521136" w:rsidRPr="00AD2EFE" w:rsidRDefault="00765DEE" w:rsidP="00AD50CE">
      <w:pPr>
        <w:pStyle w:val="NormalHanging12a"/>
      </w:pPr>
      <w:r w:rsidRPr="00AD2EFE">
        <w:t>21</w:t>
      </w:r>
      <w:r w:rsidR="00521136" w:rsidRPr="00AD2EFE">
        <w:t>.</w:t>
      </w:r>
      <w:r w:rsidR="00521136" w:rsidRPr="00AD2EFE">
        <w:tab/>
        <w:t>Encarrega a sua Presidente de transmitir a presente resolução ao Conselho, à Comissão, ao Vice-Presidente da Comissão/Alto Representante da União para os Negócios Estrangeiros e a Política de Segurança, ao Secretário-Geral das Nações Unidas, ao Governo e ao Parlamento do Irão e ao Governo e ao Parlamento de Israel.</w:t>
      </w:r>
    </w:p>
    <w:p w14:paraId="3806B861" w14:textId="77777777" w:rsidR="00E365E1" w:rsidRPr="00AD2EFE" w:rsidRDefault="00E365E1" w:rsidP="00220D9F">
      <w:bookmarkStart w:id="8" w:name="TextBodyEnd"/>
      <w:bookmarkEnd w:id="8"/>
    </w:p>
    <w:sectPr w:rsidR="00E365E1" w:rsidRPr="00AD2EFE" w:rsidSect="00D3577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260B6" w14:textId="77777777" w:rsidR="00220D9F" w:rsidRPr="00D35779" w:rsidRDefault="00220D9F">
      <w:r w:rsidRPr="00D35779">
        <w:separator/>
      </w:r>
    </w:p>
  </w:endnote>
  <w:endnote w:type="continuationSeparator" w:id="0">
    <w:p w14:paraId="314951F5" w14:textId="77777777" w:rsidR="00220D9F" w:rsidRPr="00D35779" w:rsidRDefault="00220D9F">
      <w:r w:rsidRPr="00D357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42A27" w14:textId="77777777" w:rsidR="00220D9F" w:rsidRPr="00D35779" w:rsidRDefault="00220D9F">
      <w:r w:rsidRPr="00D35779">
        <w:separator/>
      </w:r>
    </w:p>
  </w:footnote>
  <w:footnote w:type="continuationSeparator" w:id="0">
    <w:p w14:paraId="2992631A" w14:textId="77777777" w:rsidR="00220D9F" w:rsidRPr="00D35779" w:rsidRDefault="00220D9F">
      <w:r w:rsidRPr="00D35779">
        <w:continuationSeparator/>
      </w:r>
    </w:p>
  </w:footnote>
  <w:footnote w:id="1">
    <w:p w14:paraId="55180597" w14:textId="77777777" w:rsidR="00521136" w:rsidRPr="00AD50CE" w:rsidRDefault="00521136" w:rsidP="00D35779">
      <w:pPr>
        <w:pStyle w:val="FootnoteText"/>
        <w:ind w:left="567" w:hanging="567"/>
        <w:rPr>
          <w:sz w:val="24"/>
          <w:lang w:val="da-DK"/>
        </w:rPr>
      </w:pPr>
      <w:r w:rsidRPr="00D35779">
        <w:rPr>
          <w:rStyle w:val="FootnoteReference"/>
          <w:sz w:val="24"/>
          <w:lang w:val="pt-PT"/>
        </w:rPr>
        <w:footnoteRef/>
      </w:r>
      <w:r w:rsidR="00D35779" w:rsidRPr="00AD50CE">
        <w:rPr>
          <w:sz w:val="24"/>
          <w:lang w:val="da-DK"/>
        </w:rPr>
        <w:t xml:space="preserve"> </w:t>
      </w:r>
      <w:r w:rsidR="00D35779" w:rsidRPr="00AD50CE">
        <w:rPr>
          <w:sz w:val="24"/>
          <w:lang w:val="da-DK"/>
        </w:rPr>
        <w:tab/>
      </w:r>
      <w:r w:rsidRPr="00AD50CE">
        <w:rPr>
          <w:sz w:val="24"/>
          <w:lang w:val="da-DK"/>
        </w:rPr>
        <w:t>JO L 186 de 25.7.2023, p. 20.</w:t>
      </w:r>
    </w:p>
  </w:footnote>
  <w:footnote w:id="2">
    <w:p w14:paraId="159B5B82" w14:textId="77777777" w:rsidR="00521136" w:rsidRPr="00AD50CE" w:rsidRDefault="00521136" w:rsidP="00D35779">
      <w:pPr>
        <w:pStyle w:val="FootnoteText"/>
        <w:ind w:left="567" w:hanging="567"/>
        <w:rPr>
          <w:sz w:val="24"/>
          <w:lang w:val="da-DK"/>
        </w:rPr>
      </w:pPr>
      <w:r w:rsidRPr="00D35779">
        <w:rPr>
          <w:rStyle w:val="FootnoteReference"/>
          <w:sz w:val="24"/>
          <w:lang w:val="pt-PT"/>
        </w:rPr>
        <w:footnoteRef/>
      </w:r>
      <w:r w:rsidR="00D35779" w:rsidRPr="00AD50CE">
        <w:rPr>
          <w:sz w:val="24"/>
          <w:lang w:val="da-DK"/>
        </w:rPr>
        <w:t xml:space="preserve"> </w:t>
      </w:r>
      <w:r w:rsidR="00D35779" w:rsidRPr="00AD50CE">
        <w:rPr>
          <w:sz w:val="24"/>
          <w:lang w:val="da-DK"/>
        </w:rPr>
        <w:tab/>
      </w:r>
      <w:r w:rsidRPr="00AD50CE">
        <w:rPr>
          <w:sz w:val="24"/>
          <w:lang w:val="da-DK"/>
        </w:rPr>
        <w:t>JO L 344 de 28.12.2001, p. 93.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, 0237, 0249, 0250 e 0252/2024"/>
    <w:docVar w:name="dvlangue" w:val="PT"/>
    <w:docVar w:name="dvnumam" w:val="0"/>
    <w:docVar w:name="dvpe" w:val="762.546"/>
    <w:docVar w:name="dvtitre" w:val="Resolução do Parlamento Europeu, de ... de ... de 2024, sobre o ataque sem precedentes do Irão a Israel, a necessidade de desescalada e de uma resposta da UE(2024/2704(RSP))"/>
  </w:docVars>
  <w:rsids>
    <w:rsidRoot w:val="00220D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D9F"/>
    <w:rsid w:val="002767FF"/>
    <w:rsid w:val="002B18FE"/>
    <w:rsid w:val="002B5493"/>
    <w:rsid w:val="002E66CA"/>
    <w:rsid w:val="00343214"/>
    <w:rsid w:val="00361C00"/>
    <w:rsid w:val="00395FA1"/>
    <w:rsid w:val="003E15D4"/>
    <w:rsid w:val="00411CCE"/>
    <w:rsid w:val="0041666E"/>
    <w:rsid w:val="00421060"/>
    <w:rsid w:val="004600C7"/>
    <w:rsid w:val="00471C19"/>
    <w:rsid w:val="004867E3"/>
    <w:rsid w:val="00494A28"/>
    <w:rsid w:val="004C0004"/>
    <w:rsid w:val="004C5D52"/>
    <w:rsid w:val="0050519A"/>
    <w:rsid w:val="005072A1"/>
    <w:rsid w:val="00514517"/>
    <w:rsid w:val="00521136"/>
    <w:rsid w:val="00545827"/>
    <w:rsid w:val="00560270"/>
    <w:rsid w:val="005935F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DEE"/>
    <w:rsid w:val="00786EC0"/>
    <w:rsid w:val="007B4ECD"/>
    <w:rsid w:val="007C6A87"/>
    <w:rsid w:val="007D1690"/>
    <w:rsid w:val="007E22AD"/>
    <w:rsid w:val="00817416"/>
    <w:rsid w:val="00842779"/>
    <w:rsid w:val="00865F67"/>
    <w:rsid w:val="0087202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EFE"/>
    <w:rsid w:val="00AD50CE"/>
    <w:rsid w:val="00AE0928"/>
    <w:rsid w:val="00AF320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172"/>
    <w:rsid w:val="00CF071A"/>
    <w:rsid w:val="00CF10BF"/>
    <w:rsid w:val="00D058B8"/>
    <w:rsid w:val="00D35779"/>
    <w:rsid w:val="00D56C11"/>
    <w:rsid w:val="00D701B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12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4E0DD"/>
  <w15:chartTrackingRefBased/>
  <w15:docId w15:val="{33CD904A-717F-424A-A814-17B22325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21136"/>
    <w:pPr>
      <w:spacing w:after="240"/>
      <w:ind w:left="567" w:hanging="567"/>
    </w:pPr>
  </w:style>
  <w:style w:type="paragraph" w:customStyle="1" w:styleId="EPComma">
    <w:name w:val="EPComma"/>
    <w:basedOn w:val="Normal"/>
    <w:rsid w:val="0052113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21136"/>
    <w:rPr>
      <w:sz w:val="24"/>
      <w:lang w:val="pt-PT"/>
    </w:rPr>
  </w:style>
  <w:style w:type="character" w:customStyle="1" w:styleId="None">
    <w:name w:val="None"/>
    <w:rsid w:val="00521136"/>
  </w:style>
  <w:style w:type="character" w:customStyle="1" w:styleId="NingunoA">
    <w:name w:val="Ninguno A"/>
    <w:basedOn w:val="None"/>
    <w:rsid w:val="00521136"/>
    <w:rPr>
      <w:lang w:val="pt-PT"/>
    </w:rPr>
  </w:style>
  <w:style w:type="paragraph" w:styleId="BalloonText">
    <w:name w:val="Balloon Text"/>
    <w:basedOn w:val="Normal"/>
    <w:link w:val="BalloonTextChar"/>
    <w:rsid w:val="00CF10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10B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4600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00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00C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60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00C7"/>
    <w:rPr>
      <w:b/>
      <w:bCs/>
      <w:lang w:val="pt-PT"/>
    </w:rPr>
  </w:style>
  <w:style w:type="character" w:styleId="Hyperlink">
    <w:name w:val="Hyperlink"/>
    <w:basedOn w:val="DefaultParagraphFont"/>
    <w:rsid w:val="004600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56C06-715F-4046-93F5-3ECD203C8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4245</Words>
  <Characters>22553</Characters>
  <Application>Microsoft Office Word</Application>
  <DocSecurity>0</DocSecurity>
  <Lines>187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2024-04-25T13:45:00Z</dcterms:created>
  <dcterms:modified xsi:type="dcterms:W3CDTF">2024-04-25T13:45:00Z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B9-0235, 0237, 0249, 0250 e 0252/2024</vt:lpwstr>
  </property>
  <property fmtid="{D5CDD505-2E9C-101B-9397-08002B2CF9AE}" pid="4" name="&lt;Type&gt;">
    <vt:lpwstr>RR</vt:lpwstr>
  </property>
</Properties>
</file>